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ascii="宋体" w:hAnsi="宋体" w:cs="宋体"/>
          <w:b w:val="0"/>
          <w:bCs/>
          <w:color w:val="000000"/>
          <w:sz w:val="72"/>
          <w:szCs w:val="72"/>
          <w:highlight w:val="none"/>
        </w:rPr>
      </w:pPr>
      <w:r>
        <w:rPr>
          <w:rFonts w:hint="eastAsia" w:ascii="宋体" w:hAnsi="宋体" w:cs="宋体"/>
          <w:b w:val="0"/>
          <w:bCs/>
          <w:color w:val="000000"/>
          <w:sz w:val="72"/>
          <w:szCs w:val="72"/>
          <w:highlight w:val="none"/>
        </w:rPr>
      </w:r>
      <w:r/>
    </w:p>
    <w:p>
      <w:pPr>
        <w:pStyle w:val="842"/>
        <w:jc w:val="center"/>
        <w:keepLines w:val="0"/>
        <w:keepNext w:val="0"/>
        <w:pageBreakBefore w:val="0"/>
        <w:spacing w:after="156" w:line="360" w:lineRule="auto"/>
        <w:widowControl w:val="off"/>
        <w:rPr>
          <w:rFonts w:hint="eastAsia" w:ascii="宋体" w:hAnsi="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南京市中小学智慧体育设备</w:t>
      </w:r>
      <w:r>
        <w:rPr>
          <w:rFonts w:hint="eastAsia" w:ascii="宋体" w:hAnsi="宋体" w:cs="宋体"/>
          <w:b/>
          <w:bCs/>
          <w:color w:val="000000"/>
          <w:sz w:val="72"/>
          <w:szCs w:val="72"/>
          <w:highlight w:val="none"/>
          <w:lang w:eastAsia="zh-CN"/>
        </w:rPr>
      </w:r>
      <w:r/>
    </w:p>
    <w:p>
      <w:pPr>
        <w:pStyle w:val="842"/>
        <w:jc w:val="center"/>
        <w:keepLines w:val="0"/>
        <w:keepNext w:val="0"/>
        <w:pageBreakBefore w:val="0"/>
        <w:spacing w:after="156" w:line="360" w:lineRule="auto"/>
        <w:widowControl w:val="off"/>
        <w:rPr>
          <w:rFonts w:hint="eastAsia" w:ascii="宋体" w:hAnsi="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采购</w:t>
      </w:r>
      <w:r>
        <w:rPr>
          <w:rFonts w:hint="eastAsia" w:ascii="宋体" w:hAnsi="宋体" w:cs="宋体"/>
          <w:b/>
          <w:bCs/>
          <w:color w:val="000000"/>
          <w:sz w:val="72"/>
          <w:szCs w:val="72"/>
          <w:highlight w:val="none"/>
          <w:lang w:eastAsia="zh-CN"/>
        </w:rPr>
      </w:r>
      <w:r/>
    </w:p>
    <w:p>
      <w:pPr>
        <w:pStyle w:val="842"/>
        <w:jc w:val="center"/>
        <w:keepLines w:val="0"/>
        <w:keepNext w:val="0"/>
        <w:pageBreakBefore w:val="0"/>
        <w:spacing w:after="156" w:line="360" w:lineRule="auto"/>
        <w:widowControl w:val="off"/>
        <w:rPr>
          <w:rFonts w:hint="eastAsia" w:ascii="宋体" w:hAnsi="宋体" w:cs="宋体"/>
          <w:b/>
          <w:bCs/>
          <w:color w:val="000000"/>
          <w:sz w:val="72"/>
          <w:szCs w:val="72"/>
          <w:highlight w:val="none"/>
          <w:lang w:eastAsia="zh-CN"/>
        </w:rPr>
      </w:pPr>
      <w:r>
        <w:rPr>
          <w:rFonts w:hint="eastAsia" w:ascii="宋体" w:hAnsi="宋体" w:cs="宋体"/>
          <w:b/>
          <w:bCs/>
          <w:color w:val="000000"/>
          <w:sz w:val="72"/>
          <w:szCs w:val="72"/>
          <w:highlight w:val="none"/>
          <w:lang w:eastAsia="zh-CN"/>
        </w:rPr>
      </w:r>
      <w:r/>
    </w:p>
    <w:p>
      <w:pPr>
        <w:pStyle w:val="842"/>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rPr>
          <w:rFonts w:hint="eastAsia" w:ascii="宋体" w:hAnsi="宋体" w:cs="宋体"/>
          <w:b/>
          <w:bCs/>
          <w:color w:val="000000"/>
          <w:sz w:val="96"/>
          <w:szCs w:val="96"/>
          <w:highlight w:val="none"/>
        </w:rPr>
      </w:r>
      <w:r/>
    </w:p>
    <w:p>
      <w:pPr>
        <w:pStyle w:val="842"/>
        <w:jc w:val="center"/>
        <w:spacing w:line="360" w:lineRule="auto"/>
        <w:rPr>
          <w:rFonts w:ascii="宋体" w:hAnsi="宋体" w:cs="宋体"/>
          <w:b/>
          <w:bCs/>
          <w:color w:val="000000"/>
          <w:sz w:val="36"/>
          <w:szCs w:val="22"/>
          <w:highlight w:val="none"/>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JSZC-320100-SMDG-G2026-0047</w:t>
      </w:r>
      <w:r>
        <w:rPr>
          <w:rFonts w:ascii="宋体" w:hAnsi="宋体" w:cs="宋体"/>
          <w:b/>
          <w:bCs/>
          <w:color w:val="000000"/>
          <w:sz w:val="36"/>
          <w:szCs w:val="22"/>
          <w:highlight w:val="none"/>
        </w:rPr>
      </w:r>
      <w:r/>
    </w:p>
    <w:p>
      <w:pPr>
        <w:pStyle w:val="842"/>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pStyle w:val="842"/>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pStyle w:val="842"/>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pStyle w:val="842"/>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5952" w:dyaOrig="115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20" o:title=""/>
          </v:shape>
          <o:OLEObject DrawAspect="Content" r:id="rId21" ObjectID="_1525042" ProgID="PBrush" ShapeID="_x0000_i2" Type="Embed"/>
        </w:object>
      </w:r>
      <w:r>
        <w:rPr>
          <w:rFonts w:ascii="Arial" w:hAnsi="Arial" w:eastAsia="楷体_GB2312" w:cs="Arial"/>
          <w:b/>
          <w:color w:val="000000"/>
          <w:sz w:val="32"/>
          <w:highlight w:val="none"/>
        </w:rPr>
      </w:r>
      <w:r/>
    </w:p>
    <w:p>
      <w:pPr>
        <w:pStyle w:val="842"/>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rPr>
          <w:rFonts w:hint="eastAsia" w:ascii="宋体" w:hAnsi="宋体" w:cs="宋体"/>
          <w:b/>
          <w:color w:val="000000"/>
          <w:sz w:val="32"/>
          <w:highlight w:val="none"/>
        </w:rPr>
      </w:r>
      <w:r/>
    </w:p>
    <w:p>
      <w:pPr>
        <w:pStyle w:val="842"/>
        <w:jc w:val="center"/>
        <w:spacing w:line="360" w:lineRule="auto"/>
        <w:rPr>
          <w:rFonts w:ascii="Arial" w:hAnsi="Arial" w:eastAsia="黑体" w:cs="Arial"/>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lang w:val="en-US" w:eastAsia="zh-CN"/>
        </w:rPr>
        <w:t xml:space="preserve">2</w:t>
      </w:r>
      <w:r>
        <w:rPr>
          <w:rFonts w:hint="eastAsia" w:ascii="宋体" w:hAnsi="宋体" w:cs="宋体"/>
          <w:b/>
          <w:color w:val="000000"/>
          <w:sz w:val="32"/>
          <w:szCs w:val="22"/>
          <w:highlight w:val="none"/>
          <w:lang w:val="en-US" w:eastAsia="zh-CN"/>
        </w:rPr>
        <w:t xml:space="preserve">026</w:t>
      </w:r>
      <w:r>
        <w:rPr>
          <w:rFonts w:hint="eastAsia" w:ascii="宋体" w:hAnsi="宋体" w:cs="宋体"/>
          <w:b/>
          <w:color w:val="000000"/>
          <w:sz w:val="32"/>
          <w:szCs w:val="22"/>
          <w:highlight w:val="none"/>
        </w:rPr>
        <w:t xml:space="preserve">年6</w:t>
      </w:r>
      <w:r>
        <w:rPr>
          <w:rFonts w:hint="eastAsia" w:ascii="宋体" w:hAnsi="宋体" w:cs="宋体"/>
          <w:b/>
          <w:color w:val="000000"/>
          <w:sz w:val="32"/>
          <w:szCs w:val="22"/>
          <w:highlight w:val="none"/>
        </w:rPr>
        <w:t xml:space="preserve">月</w:t>
      </w:r>
      <w:r>
        <w:rPr>
          <w:rFonts w:ascii="Arial" w:hAnsi="Arial" w:eastAsia="黑体" w:cs="Arial"/>
          <w:b/>
          <w:color w:val="000000"/>
          <w:sz w:val="32"/>
          <w:highlight w:val="none"/>
        </w:rPr>
      </w:r>
      <w:r/>
    </w:p>
    <w:p>
      <w:pPr>
        <w:pStyle w:val="842"/>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rPr>
          <w:rFonts w:ascii="Arial" w:hAnsi="Arial" w:eastAsia="黑体" w:cs="Arial"/>
          <w:b/>
          <w:color w:val="000000"/>
          <w:sz w:val="32"/>
          <w:highlight w:val="none"/>
        </w:rPr>
      </w:r>
      <w:r/>
    </w:p>
    <w:p>
      <w:pPr>
        <w:pStyle w:val="842"/>
        <w:spacing w:line="440" w:lineRule="exact"/>
        <w:rPr>
          <w:rFonts w:hint="eastAsia" w:ascii="Arial" w:hAnsi="Arial" w:eastAsia="宋体" w:cs="Arial"/>
          <w:color w:val="000000"/>
          <w:szCs w:val="21"/>
          <w:highlight w:val="none"/>
          <w:lang w:eastAsia="zh-CN"/>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eastAsia="宋体" w:cs="Arial"/>
          <w:color w:val="000000"/>
          <w:szCs w:val="21"/>
          <w:highlight w:val="none"/>
        </w:rPr>
        <w:t xml:space="preserve">第一章  </w:t>
      </w:r>
      <w:r>
        <w:rPr>
          <w:rFonts w:hint="eastAsia" w:ascii="Arial" w:hAnsi="Arial" w:eastAsia="宋体" w:cs="Arial"/>
          <w:color w:val="000000"/>
          <w:szCs w:val="21"/>
          <w:highlight w:val="none"/>
          <w:lang w:eastAsia="zh-CN"/>
        </w:rPr>
        <w:t xml:space="preserve">招标公告</w:t>
      </w:r>
      <w:r>
        <w:rPr>
          <w:rFonts w:hint="eastAsia" w:ascii="Arial" w:hAnsi="Arial" w:eastAsia="宋体" w:cs="Arial"/>
          <w:color w:val="000000"/>
          <w:szCs w:val="21"/>
          <w:highlight w:val="none"/>
          <w:lang w:eastAsia="zh-CN"/>
        </w:rPr>
      </w:r>
      <w:r/>
    </w:p>
    <w:p>
      <w:pPr>
        <w:pStyle w:val="842"/>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第二章  </w:t>
      </w:r>
      <w:r>
        <w:rPr>
          <w:rFonts w:ascii="Arial" w:hAnsi="Arial" w:eastAsia="宋体" w:cs="Arial"/>
          <w:color w:val="000000"/>
          <w:szCs w:val="21"/>
          <w:highlight w:val="none"/>
        </w:rPr>
        <w:t xml:space="preserve">投标人须知</w:t>
      </w:r>
      <w:r>
        <w:rPr>
          <w:rFonts w:ascii="Arial" w:hAnsi="Arial" w:eastAsia="宋体" w:cs="Arial"/>
          <w:color w:val="000000"/>
          <w:szCs w:val="21"/>
          <w:highlight w:val="none"/>
        </w:rPr>
      </w:r>
      <w:r/>
    </w:p>
    <w:p>
      <w:pPr>
        <w:pStyle w:val="842"/>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第三章  评标方法、评分标准</w:t>
      </w:r>
      <w:r>
        <w:rPr>
          <w:rFonts w:ascii="Arial" w:hAnsi="Arial" w:eastAsia="宋体" w:cs="Arial"/>
          <w:color w:val="000000"/>
          <w:szCs w:val="21"/>
          <w:highlight w:val="none"/>
        </w:rPr>
      </w:r>
      <w:r/>
    </w:p>
    <w:p>
      <w:pPr>
        <w:pStyle w:val="842"/>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第四章  采购需求</w:t>
      </w:r>
      <w:r>
        <w:rPr>
          <w:rFonts w:ascii="Arial" w:hAnsi="Arial" w:eastAsia="宋体" w:cs="Arial"/>
          <w:color w:val="000000"/>
          <w:szCs w:val="21"/>
          <w:highlight w:val="none"/>
        </w:rPr>
      </w:r>
      <w:r/>
    </w:p>
    <w:p>
      <w:pPr>
        <w:pStyle w:val="842"/>
        <w:spacing w:line="440" w:lineRule="exact"/>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rPr>
        <w:t xml:space="preserve">第五章  合同</w:t>
      </w:r>
      <w:r>
        <w:rPr>
          <w:rFonts w:hint="eastAsia" w:ascii="Arial" w:hAnsi="Arial" w:eastAsia="宋体" w:cs="Arial"/>
          <w:color w:val="000000"/>
          <w:szCs w:val="21"/>
          <w:highlight w:val="none"/>
          <w:lang w:val="en-US" w:eastAsia="zh-CN"/>
        </w:rPr>
        <w:t xml:space="preserve">草案条款</w:t>
      </w:r>
      <w:r>
        <w:rPr>
          <w:rFonts w:ascii="Arial" w:hAnsi="Arial" w:eastAsia="宋体" w:cs="Arial"/>
          <w:color w:val="000000"/>
          <w:szCs w:val="21"/>
          <w:highlight w:val="none"/>
          <w:lang w:val="en-US" w:eastAsia="zh-CN"/>
        </w:rPr>
      </w:r>
      <w:r/>
    </w:p>
    <w:p>
      <w:pPr>
        <w:pStyle w:val="842"/>
        <w:spacing w:line="440" w:lineRule="exact"/>
        <w:rPr>
          <w:rFonts w:ascii="Arial" w:hAnsi="Arial" w:eastAsia="宋体" w:cs="Arial"/>
          <w:color w:val="000000"/>
          <w:szCs w:val="21"/>
          <w:highlight w:val="none"/>
        </w:rPr>
      </w:pPr>
      <w:r>
        <w:rPr>
          <w:rFonts w:hint="eastAsia" w:ascii="Arial" w:hAnsi="Arial" w:eastAsia="宋体" w:cs="Arial"/>
          <w:color w:val="000000"/>
          <w:szCs w:val="21"/>
          <w:highlight w:val="none"/>
        </w:rPr>
        <w:t xml:space="preserve">第</w:t>
      </w:r>
      <w:r>
        <w:rPr>
          <w:rFonts w:hint="eastAsia" w:ascii="Arial" w:hAnsi="Arial" w:eastAsia="宋体" w:cs="Arial"/>
          <w:color w:val="000000"/>
          <w:szCs w:val="21"/>
          <w:highlight w:val="none"/>
          <w:lang w:val="en-US" w:eastAsia="zh-CN"/>
        </w:rPr>
        <w:t xml:space="preserve">六</w:t>
      </w:r>
      <w:r>
        <w:rPr>
          <w:rFonts w:hint="eastAsia" w:ascii="Arial" w:hAnsi="Arial" w:eastAsia="宋体" w:cs="Arial"/>
          <w:color w:val="000000"/>
          <w:szCs w:val="21"/>
          <w:highlight w:val="none"/>
        </w:rPr>
        <w:t xml:space="preserve">章  </w:t>
      </w:r>
      <w:r>
        <w:rPr>
          <w:rFonts w:ascii="Arial" w:hAnsi="Arial" w:eastAsia="宋体" w:cs="Arial"/>
          <w:color w:val="000000"/>
          <w:szCs w:val="21"/>
          <w:highlight w:val="none"/>
        </w:rPr>
        <w:t xml:space="preserve">投标文件格式及附件</w:t>
      </w:r>
      <w:r>
        <w:rPr>
          <w:rFonts w:ascii="Arial" w:hAnsi="Arial" w:eastAsia="宋体" w:cs="Arial"/>
          <w:color w:val="000000"/>
          <w:szCs w:val="21"/>
          <w:highlight w:val="none"/>
        </w:rPr>
      </w:r>
      <w:r/>
    </w:p>
    <w:p>
      <w:pPr>
        <w:pStyle w:val="842"/>
        <w:spacing w:line="440" w:lineRule="exact"/>
        <w:rPr>
          <w:rFonts w:ascii="Arial" w:hAnsi="Arial" w:cs="Arial"/>
          <w:color w:val="000000"/>
          <w:szCs w:val="21"/>
          <w:highlight w:val="none"/>
        </w:rPr>
      </w:pPr>
      <w:r>
        <w:rPr>
          <w:rFonts w:ascii="Arial" w:hAnsi="Arial" w:cs="Arial"/>
          <w:color w:val="000000"/>
          <w:szCs w:val="21"/>
          <w:highlight w:val="none"/>
        </w:rPr>
      </w:r>
      <w:r/>
    </w:p>
    <w:p>
      <w:pPr>
        <w:pStyle w:val="1037"/>
        <w:spacing w:line="480" w:lineRule="auto"/>
        <w:tabs>
          <w:tab w:val="right" w:pos="9638" w:leader="dot"/>
        </w:tabs>
        <w:rPr>
          <w:color w:val="000000"/>
          <w:highlight w:val="none"/>
        </w:rPr>
      </w:pPr>
      <w:r>
        <w:rPr>
          <w:color w:val="000000"/>
          <w:highlight w:val="none"/>
        </w:rPr>
      </w:r>
      <w:r/>
    </w:p>
    <w:p>
      <w:pPr>
        <w:pStyle w:val="1038"/>
        <w:tabs>
          <w:tab w:val="right" w:pos="9638" w:leader="dot"/>
        </w:tabs>
        <w:rPr>
          <w:highlight w:val="none"/>
        </w:rPr>
      </w:pPr>
      <w:r>
        <w:rPr>
          <w:highlight w:val="none"/>
        </w:rPr>
      </w:r>
      <w:r/>
    </w:p>
    <w:p>
      <w:pPr>
        <w:pStyle w:val="842"/>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ascii="Arial" w:hAnsi="Arial" w:cs="Arial"/>
          <w:color w:val="000000"/>
          <w:szCs w:val="21"/>
          <w:highlight w:val="none"/>
        </w:rPr>
      </w:r>
      <w:r/>
    </w:p>
    <w:p>
      <w:pPr>
        <w:pStyle w:val="1037"/>
        <w:spacing w:line="480" w:lineRule="auto"/>
        <w:tabs>
          <w:tab w:val="right" w:pos="9638" w:leader="dot"/>
        </w:tabs>
        <w:rPr>
          <w:color w:val="000000"/>
          <w:highlight w:val="none"/>
        </w:rPr>
      </w:pPr>
      <w:r>
        <w:rPr>
          <w:color w:val="000000"/>
          <w:highlight w:val="none"/>
        </w:rPr>
      </w:r>
      <w:r/>
    </w:p>
    <w:p>
      <w:pPr>
        <w:pStyle w:val="1038"/>
        <w:jc w:val="left"/>
        <w:tabs>
          <w:tab w:val="right" w:pos="9638" w:leader="dot"/>
        </w:tabs>
        <w:rPr>
          <w:highlight w:val="none"/>
        </w:rPr>
      </w:pPr>
      <w:r>
        <w:rPr>
          <w:highlight w:val="none"/>
        </w:rPr>
      </w:r>
      <w:r/>
    </w:p>
    <w:p>
      <w:pPr>
        <w:pStyle w:val="842"/>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r>
      <w:r/>
    </w:p>
    <w:p>
      <w:pPr>
        <w:pStyle w:val="842"/>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pStyle w:val="842"/>
        <w:rPr>
          <w:rFonts w:ascii="Arial" w:hAnsi="Arial" w:eastAsia="黑体" w:cs="Arial"/>
          <w:sz w:val="28"/>
          <w:szCs w:val="28"/>
          <w:highlight w:val="none"/>
        </w:rPr>
      </w:pPr>
      <w:r>
        <w:rPr>
          <w:rFonts w:ascii="Arial" w:hAnsi="Arial" w:eastAsia="黑体" w:cs="Arial"/>
          <w:sz w:val="28"/>
          <w:szCs w:val="28"/>
          <w:highlight w:val="none"/>
        </w:rPr>
      </w:r>
      <w:r/>
    </w:p>
    <w:p>
      <w:pPr>
        <w:pStyle w:val="842"/>
        <w:rPr>
          <w:rFonts w:ascii="Arial" w:hAnsi="Arial" w:eastAsia="黑体" w:cs="Arial"/>
          <w:sz w:val="28"/>
          <w:szCs w:val="28"/>
          <w:highlight w:val="none"/>
        </w:rPr>
      </w:pPr>
      <w:r>
        <w:rPr>
          <w:rFonts w:ascii="Arial" w:hAnsi="Arial" w:eastAsia="黑体" w:cs="Arial"/>
          <w:sz w:val="28"/>
          <w:szCs w:val="28"/>
          <w:highlight w:val="none"/>
        </w:rPr>
      </w:r>
      <w:r/>
    </w:p>
    <w:p>
      <w:pPr>
        <w:pStyle w:val="842"/>
        <w:rPr>
          <w:rFonts w:ascii="Arial" w:hAnsi="Arial" w:eastAsia="黑体" w:cs="Arial"/>
          <w:sz w:val="28"/>
          <w:szCs w:val="28"/>
          <w:highlight w:val="none"/>
        </w:rPr>
      </w:pPr>
      <w:r>
        <w:rPr>
          <w:rFonts w:ascii="Arial" w:hAnsi="Arial" w:eastAsia="黑体" w:cs="Arial"/>
          <w:sz w:val="28"/>
          <w:szCs w:val="28"/>
          <w:highlight w:val="none"/>
        </w:rPr>
      </w:r>
      <w:r/>
    </w:p>
    <w:p>
      <w:pPr>
        <w:pStyle w:val="842"/>
        <w:rPr>
          <w:rFonts w:ascii="Arial" w:hAnsi="Arial" w:eastAsia="黑体" w:cs="Arial"/>
          <w:sz w:val="28"/>
          <w:szCs w:val="28"/>
          <w:highlight w:val="none"/>
        </w:rPr>
      </w:pPr>
      <w:r>
        <w:rPr>
          <w:rFonts w:ascii="Arial" w:hAnsi="Arial" w:eastAsia="黑体" w:cs="Arial"/>
          <w:sz w:val="28"/>
          <w:szCs w:val="28"/>
          <w:highlight w:val="none"/>
        </w:rPr>
      </w:r>
      <w:r/>
    </w:p>
    <w:p>
      <w:pPr>
        <w:pStyle w:val="842"/>
        <w:rPr>
          <w:rFonts w:ascii="Arial" w:hAnsi="Arial" w:eastAsia="黑体" w:cs="Arial"/>
          <w:sz w:val="28"/>
          <w:szCs w:val="28"/>
          <w:highlight w:val="none"/>
        </w:rPr>
      </w:pPr>
      <w:r>
        <w:rPr>
          <w:rFonts w:ascii="Arial" w:hAnsi="Arial" w:eastAsia="黑体" w:cs="Arial"/>
          <w:sz w:val="28"/>
          <w:szCs w:val="28"/>
          <w:highlight w:val="none"/>
        </w:rPr>
      </w:r>
      <w:r/>
    </w:p>
    <w:p>
      <w:pPr>
        <w:pStyle w:val="842"/>
        <w:rPr>
          <w:rFonts w:ascii="Arial" w:hAnsi="Arial" w:eastAsia="黑体" w:cs="Arial"/>
          <w:sz w:val="28"/>
          <w:szCs w:val="28"/>
          <w:highlight w:val="none"/>
        </w:rPr>
      </w:pPr>
      <w:r>
        <w:rPr>
          <w:rFonts w:ascii="Arial" w:hAnsi="Arial" w:eastAsia="黑体" w:cs="Arial"/>
          <w:sz w:val="28"/>
          <w:szCs w:val="28"/>
          <w:highlight w:val="none"/>
        </w:rPr>
      </w:r>
      <w:r/>
    </w:p>
    <w:p>
      <w:pPr>
        <w:pStyle w:val="842"/>
        <w:rPr>
          <w:rFonts w:ascii="Arial" w:hAnsi="Arial" w:eastAsia="黑体" w:cs="Arial"/>
          <w:sz w:val="28"/>
          <w:szCs w:val="28"/>
          <w:highlight w:val="none"/>
        </w:rPr>
      </w:pPr>
      <w:r>
        <w:rPr>
          <w:rFonts w:ascii="Arial" w:hAnsi="Arial" w:eastAsia="黑体" w:cs="Arial"/>
          <w:sz w:val="28"/>
          <w:szCs w:val="28"/>
          <w:highlight w:val="none"/>
        </w:rPr>
      </w:r>
      <w:r/>
    </w:p>
    <w:p>
      <w:pPr>
        <w:pStyle w:val="842"/>
        <w:jc w:val="center"/>
        <w:rPr>
          <w:rFonts w:ascii="Arial" w:hAnsi="Arial" w:eastAsia="黑体" w:cs="Arial"/>
          <w:sz w:val="28"/>
          <w:szCs w:val="28"/>
          <w:highlight w:val="none"/>
        </w:rPr>
      </w:pPr>
      <w:r>
        <w:rPr>
          <w:rFonts w:ascii="Arial" w:hAnsi="Arial" w:eastAsia="黑体" w:cs="Arial"/>
          <w:sz w:val="28"/>
          <w:szCs w:val="28"/>
          <w:highlight w:val="none"/>
        </w:rPr>
      </w:r>
      <w:r/>
    </w:p>
    <w:p>
      <w:pPr>
        <w:pStyle w:val="842"/>
        <w:rPr>
          <w:rFonts w:ascii="Arial" w:hAnsi="Arial" w:eastAsia="黑体" w:cs="Arial"/>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039"/>
        <w:ind w:right="420" w:firstLine="321"/>
        <w:jc w:val="center"/>
        <w:spacing w:line="360" w:lineRule="auto"/>
        <w:rPr>
          <w:rFonts w:hint="eastAsia" w:eastAsia="黑体"/>
          <w:szCs w:val="24"/>
          <w:highlight w:val="none"/>
          <w:lang w:eastAsia="zh-CN"/>
        </w:rPr>
        <w:outlineLvl w:val="0"/>
      </w:pPr>
      <w:r>
        <w:rPr>
          <w:rFonts w:hint="eastAsia" w:ascii="黑体" w:hAnsi="宋体" w:eastAsia="黑体"/>
          <w:sz w:val="32"/>
          <w:szCs w:val="32"/>
          <w:highlight w:val="none"/>
        </w:rPr>
        <w:t xml:space="preserve">第一章 </w:t>
      </w:r>
      <w:r>
        <w:rPr>
          <w:rFonts w:hint="eastAsia" w:ascii="黑体" w:hAnsi="宋体" w:eastAsia="黑体"/>
          <w:sz w:val="32"/>
          <w:szCs w:val="32"/>
          <w:highlight w:val="none"/>
          <w:lang w:eastAsia="zh-CN"/>
        </w:rPr>
        <w:t xml:space="preserve">招标公告</w:t>
      </w:r>
      <w:r>
        <w:rPr>
          <w:rFonts w:hint="eastAsia" w:eastAsia="黑体"/>
          <w:szCs w:val="24"/>
          <w:highlight w:val="none"/>
          <w:lang w:eastAsia="zh-CN"/>
        </w:rPr>
      </w:r>
      <w:r/>
    </w:p>
    <w:p>
      <w:pPr>
        <w:pStyle w:val="1040"/>
        <w:ind w:firstLine="420"/>
        <w:keepLines w:val="0"/>
        <w:keepNext w:val="0"/>
        <w:pageBreakBefore w:val="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w:t>
      </w:r>
      <w:r>
        <w:rPr>
          <w:rFonts w:ascii="Arial" w:hAnsi="Arial" w:eastAsia="宋体" w:cs="Arial"/>
          <w:sz w:val="21"/>
          <w:szCs w:val="21"/>
          <w:highlight w:val="none"/>
        </w:rPr>
        <w:t xml:space="preserve">受</w:t>
      </w:r>
      <w:r>
        <w:rPr>
          <w:rFonts w:hint="eastAsia" w:ascii="Arial" w:hAnsi="Arial" w:eastAsia="宋体" w:cs="Arial"/>
          <w:sz w:val="21"/>
          <w:szCs w:val="21"/>
          <w:highlight w:val="none"/>
          <w:lang w:eastAsia="zh-CN"/>
        </w:rPr>
        <w:t xml:space="preserve">南京市教育技术装备中心</w:t>
      </w:r>
      <w:r>
        <w:rPr>
          <w:rFonts w:ascii="Arial" w:hAnsi="Arial" w:eastAsia="宋体" w:cs="Arial"/>
          <w:sz w:val="21"/>
          <w:szCs w:val="21"/>
          <w:highlight w:val="none"/>
        </w:rPr>
        <w:t xml:space="preserve">委托，就</w:t>
      </w:r>
      <w:r>
        <w:rPr>
          <w:rFonts w:hint="eastAsia" w:ascii="Arial" w:hAnsi="Arial" w:eastAsia="宋体" w:cs="Arial"/>
          <w:sz w:val="21"/>
          <w:szCs w:val="21"/>
          <w:highlight w:val="none"/>
          <w:lang w:eastAsia="zh-CN"/>
        </w:rPr>
        <w:t xml:space="preserve">南京市中小学智慧体育设备采购</w:t>
      </w:r>
      <w:r>
        <w:rPr>
          <w:rFonts w:ascii="Arial" w:hAnsi="Arial" w:eastAsia="宋体" w:cs="Arial"/>
          <w:sz w:val="21"/>
          <w:szCs w:val="21"/>
          <w:highlight w:val="none"/>
        </w:rPr>
        <w:t xml:space="preserve">进行公开招标，现欢迎符合相关条件的</w:t>
      </w:r>
      <w:r>
        <w:rPr>
          <w:rFonts w:hint="eastAsia" w:ascii="Arial" w:hAnsi="Arial" w:eastAsia="宋体" w:cs="Arial"/>
          <w:sz w:val="21"/>
          <w:szCs w:val="21"/>
          <w:highlight w:val="none"/>
        </w:rPr>
        <w:t xml:space="preserve">供应商</w:t>
      </w:r>
      <w:r>
        <w:rPr>
          <w:rFonts w:ascii="Arial" w:hAnsi="Arial" w:eastAsia="宋体" w:cs="Arial"/>
          <w:sz w:val="21"/>
          <w:szCs w:val="21"/>
          <w:highlight w:val="none"/>
        </w:rPr>
        <w:t xml:space="preserve">参加投标。</w:t>
      </w:r>
      <w:r>
        <w:rPr>
          <w:rFonts w:ascii="Arial" w:hAnsi="Arial" w:eastAsia="宋体" w:cs="Arial"/>
          <w:sz w:val="21"/>
          <w:szCs w:val="21"/>
          <w:highlight w:val="none"/>
        </w:rPr>
      </w:r>
      <w:r/>
    </w:p>
    <w:p>
      <w:pPr>
        <w:pStyle w:val="842"/>
        <w:keepLines w:val="0"/>
        <w:keepNext w:val="0"/>
        <w:pageBreakBefore w:val="0"/>
        <w:spacing w:line="360" w:lineRule="auto"/>
        <w:rPr>
          <w:rFonts w:hint="eastAsia"/>
          <w:b/>
          <w:bCs/>
          <w:highlight w:val="none"/>
        </w:rPr>
      </w:pPr>
      <w:r/>
      <w:bookmarkStart w:id="0" w:name="_Toc28359079"/>
      <w:r/>
      <w:bookmarkStart w:id="1" w:name="_Toc28359002"/>
      <w:r/>
      <w:bookmarkStart w:id="2" w:name="_Toc35393790"/>
      <w:r/>
      <w:bookmarkStart w:id="3" w:name="_Toc35393621"/>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rPr>
          <w:rFonts w:hint="eastAsia"/>
          <w:b/>
          <w:bCs/>
          <w:highlight w:val="none"/>
        </w:rPr>
      </w:r>
      <w:r/>
    </w:p>
    <w:p>
      <w:pPr>
        <w:pStyle w:val="842"/>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JSZC-320100-SMDG-G2026-0047</w:t>
      </w:r>
      <w:r>
        <w:rPr>
          <w:rFonts w:hint="eastAsia" w:ascii="Arial" w:hAnsi="Arial" w:cs="Arial"/>
          <w:color w:val="000000"/>
          <w:szCs w:val="21"/>
          <w:highlight w:val="none"/>
        </w:rPr>
      </w:r>
      <w:r/>
    </w:p>
    <w:p>
      <w:pPr>
        <w:pStyle w:val="842"/>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南京市中小学智慧体育设备采购</w:t>
      </w:r>
      <w:r>
        <w:rPr>
          <w:rFonts w:hint="eastAsia" w:ascii="Arial" w:hAnsi="Arial" w:cs="Arial"/>
          <w:color w:val="000000"/>
          <w:szCs w:val="21"/>
          <w:highlight w:val="none"/>
        </w:rPr>
      </w:r>
      <w:r/>
    </w:p>
    <w:p>
      <w:pPr>
        <w:pStyle w:val="842"/>
        <w:keepLines w:val="0"/>
        <w:keepNext w:val="0"/>
        <w:pageBreakBefore w:val="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数量：1</w:t>
      </w:r>
      <w:r>
        <w:rPr>
          <w:rFonts w:hint="eastAsia" w:ascii="Arial" w:hAnsi="Arial" w:cs="Arial"/>
          <w:color w:val="000000"/>
          <w:szCs w:val="21"/>
          <w:highlight w:val="none"/>
          <w:lang w:val="en-US" w:eastAsia="zh-CN"/>
        </w:rPr>
        <w:t xml:space="preserve">批</w:t>
      </w:r>
      <w:r>
        <w:rPr>
          <w:rFonts w:hint="eastAsia" w:ascii="Arial" w:hAnsi="Arial" w:eastAsia="宋体" w:cs="Arial"/>
          <w:color w:val="000000"/>
          <w:szCs w:val="21"/>
          <w:highlight w:val="none"/>
          <w:lang w:eastAsia="zh-CN"/>
        </w:rPr>
      </w:r>
      <w:r/>
    </w:p>
    <w:p>
      <w:pPr>
        <w:pStyle w:val="842"/>
        <w:keepLines w:val="0"/>
        <w:keepNext w:val="0"/>
        <w:pageBreakBefore w:val="0"/>
        <w:spacing w:line="360" w:lineRule="auto"/>
        <w:widowControl w:val="off"/>
        <w:rPr>
          <w:rFonts w:ascii="Arial" w:hAnsi="Arial" w:eastAsia="宋体" w:cs="Arial"/>
          <w:color w:val="000000"/>
          <w:szCs w:val="21"/>
          <w:highlight w:val="none"/>
          <w:lang w:val="en-US"/>
        </w:rPr>
      </w:pPr>
      <w:r>
        <w:rPr>
          <w:rFonts w:hint="eastAsia" w:ascii="Arial" w:hAnsi="Arial" w:cs="Arial"/>
          <w:color w:val="000000"/>
          <w:szCs w:val="21"/>
          <w:highlight w:val="none"/>
        </w:rPr>
        <w:t xml:space="preserve">采购预算：</w:t>
      </w:r>
      <w:r>
        <w:rPr>
          <w:rFonts w:hint="eastAsia" w:ascii="Arial" w:hAnsi="Arial" w:cs="Arial"/>
          <w:color w:val="000000"/>
          <w:szCs w:val="21"/>
          <w:highlight w:val="none"/>
          <w:lang w:val="en-US" w:eastAsia="zh-CN"/>
        </w:rPr>
        <w:t xml:space="preserve">280万元（</w:t>
      </w:r>
      <w:r>
        <w:rPr>
          <w:rFonts w:hint="eastAsia" w:ascii="Arial" w:hAnsi="Arial" w:eastAsia="宋体" w:cs="Arial"/>
          <w:color w:val="000000"/>
          <w:szCs w:val="21"/>
          <w:highlight w:val="none"/>
          <w:lang w:val="en-US" w:eastAsia="zh-CN"/>
        </w:rPr>
        <w:t xml:space="preserve">分包一：</w:t>
      </w:r>
      <w:r>
        <w:rPr>
          <w:rFonts w:hint="eastAsia" w:ascii="Arial" w:hAnsi="Arial" w:eastAsia="宋体" w:cs="Arial"/>
          <w:color w:val="000000"/>
          <w:szCs w:val="21"/>
          <w:highlight w:val="none"/>
        </w:rPr>
        <w:t xml:space="preserve">RMB</w:t>
      </w:r>
      <w:r>
        <w:rPr>
          <w:rFonts w:hint="eastAsia" w:ascii="Arial" w:hAnsi="Arial" w:eastAsia="宋体" w:cs="Arial"/>
          <w:color w:val="000000"/>
          <w:szCs w:val="21"/>
          <w:highlight w:val="none"/>
          <w:lang w:eastAsia="zh-CN"/>
        </w:rPr>
        <w:t xml:space="preserve">142万</w:t>
      </w:r>
      <w:r>
        <w:rPr>
          <w:rFonts w:hint="eastAsia" w:ascii="Arial" w:hAnsi="Arial" w:eastAsia="宋体" w:cs="Arial"/>
          <w:color w:val="000000"/>
          <w:szCs w:val="21"/>
          <w:highlight w:val="none"/>
          <w:lang w:val="en-US" w:eastAsia="zh-CN"/>
        </w:rPr>
        <w:t xml:space="preserve">元；分包二：RMB</w:t>
      </w:r>
      <w:r>
        <w:rPr>
          <w:rFonts w:hint="eastAsia" w:ascii="Arial" w:hAnsi="Arial" w:eastAsia="宋体" w:cs="Arial"/>
          <w:color w:val="000000"/>
          <w:szCs w:val="21"/>
          <w:highlight w:val="none"/>
          <w:lang w:eastAsia="zh-CN"/>
        </w:rPr>
        <w:t xml:space="preserve">138万</w:t>
      </w:r>
      <w:r>
        <w:rPr>
          <w:rFonts w:hint="eastAsia" w:ascii="Arial" w:hAnsi="Arial" w:eastAsia="宋体" w:cs="Arial"/>
          <w:color w:val="000000"/>
          <w:szCs w:val="21"/>
          <w:highlight w:val="none"/>
          <w:lang w:val="en-US" w:eastAsia="zh-CN"/>
        </w:rPr>
        <w:t xml:space="preserve">元）。</w:t>
      </w:r>
      <w:r>
        <w:rPr>
          <w:rFonts w:ascii="Arial" w:hAnsi="Arial" w:eastAsia="宋体" w:cs="Arial"/>
          <w:color w:val="000000"/>
          <w:szCs w:val="21"/>
          <w:highlight w:val="none"/>
          <w:lang w:val="en-US"/>
        </w:rPr>
      </w:r>
      <w:r/>
    </w:p>
    <w:p>
      <w:pPr>
        <w:pStyle w:val="842"/>
        <w:keepLines w:val="0"/>
        <w:keepNext w:val="0"/>
        <w:pageBreakBefore w:val="0"/>
        <w:spacing w:line="360" w:lineRule="auto"/>
        <w:widowControl w:val="off"/>
        <w:rPr>
          <w:rFonts w:ascii="Arial" w:hAnsi="Arial" w:eastAsia="宋体" w:cs="Arial"/>
          <w:color w:val="000000"/>
          <w:szCs w:val="21"/>
          <w:highlight w:val="none"/>
          <w:lang w:val="en-US"/>
        </w:rPr>
      </w:pPr>
      <w:r>
        <w:rPr>
          <w:rFonts w:hint="eastAsia" w:ascii="Arial" w:hAnsi="Arial" w:cs="Arial"/>
          <w:color w:val="000000"/>
          <w:szCs w:val="21"/>
          <w:highlight w:val="none"/>
          <w:lang w:val="en-US" w:eastAsia="zh-CN"/>
        </w:rPr>
        <w:t xml:space="preserve">最高限价</w:t>
      </w:r>
      <w:r>
        <w:rPr>
          <w:rFonts w:hint="eastAsia"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278.9万元（</w:t>
      </w:r>
      <w:r>
        <w:rPr>
          <w:rFonts w:hint="eastAsia" w:ascii="Arial" w:hAnsi="Arial" w:eastAsia="宋体" w:cs="Arial"/>
          <w:color w:val="000000"/>
          <w:szCs w:val="21"/>
          <w:highlight w:val="none"/>
          <w:lang w:val="en-US" w:eastAsia="zh-CN"/>
        </w:rPr>
        <w:t xml:space="preserve">分包一：</w:t>
      </w:r>
      <w:r>
        <w:rPr>
          <w:rFonts w:hint="eastAsia" w:ascii="Arial" w:hAnsi="Arial" w:eastAsia="宋体" w:cs="Arial"/>
          <w:color w:val="000000"/>
          <w:szCs w:val="21"/>
          <w:highlight w:val="none"/>
        </w:rPr>
        <w:t xml:space="preserve">RMB</w:t>
      </w:r>
      <w:r>
        <w:rPr>
          <w:rFonts w:hint="eastAsia" w:ascii="Arial" w:hAnsi="Arial" w:eastAsia="宋体" w:cs="Arial"/>
          <w:color w:val="000000"/>
          <w:szCs w:val="21"/>
          <w:highlight w:val="none"/>
          <w:lang w:eastAsia="zh-CN"/>
        </w:rPr>
        <w:t xml:space="preserve">14</w:t>
      </w:r>
      <w:r>
        <w:rPr>
          <w:rFonts w:hint="eastAsia" w:ascii="Arial" w:hAnsi="Arial" w:eastAsia="宋体" w:cs="Arial"/>
          <w:color w:val="000000"/>
          <w:szCs w:val="21"/>
          <w:highlight w:val="none"/>
          <w:lang w:val="en-US" w:eastAsia="zh-CN"/>
        </w:rPr>
        <w:t xml:space="preserve">1.7</w:t>
      </w:r>
      <w:r>
        <w:rPr>
          <w:rFonts w:hint="eastAsia" w:ascii="Arial" w:hAnsi="Arial" w:eastAsia="宋体" w:cs="Arial"/>
          <w:color w:val="000000"/>
          <w:szCs w:val="21"/>
          <w:highlight w:val="none"/>
          <w:lang w:eastAsia="zh-CN"/>
        </w:rPr>
        <w:t xml:space="preserve">万</w:t>
      </w:r>
      <w:r>
        <w:rPr>
          <w:rFonts w:hint="eastAsia" w:ascii="Arial" w:hAnsi="Arial" w:eastAsia="宋体" w:cs="Arial"/>
          <w:color w:val="000000"/>
          <w:szCs w:val="21"/>
          <w:highlight w:val="none"/>
          <w:lang w:val="en-US" w:eastAsia="zh-CN"/>
        </w:rPr>
        <w:t xml:space="preserve">元；分包二：RMB</w:t>
      </w:r>
      <w:r>
        <w:rPr>
          <w:rFonts w:hint="eastAsia" w:ascii="Arial" w:hAnsi="Arial" w:eastAsia="宋体" w:cs="Arial"/>
          <w:color w:val="000000"/>
          <w:szCs w:val="21"/>
          <w:highlight w:val="none"/>
          <w:lang w:eastAsia="zh-CN"/>
        </w:rPr>
        <w:t xml:space="preserve">137.2万</w:t>
      </w:r>
      <w:r>
        <w:rPr>
          <w:rFonts w:hint="eastAsia" w:ascii="Arial" w:hAnsi="Arial" w:eastAsia="宋体" w:cs="Arial"/>
          <w:color w:val="000000"/>
          <w:szCs w:val="21"/>
          <w:highlight w:val="none"/>
          <w:lang w:val="en-US" w:eastAsia="zh-CN"/>
        </w:rPr>
        <w:t xml:space="preserve">元），总价及单价均不得超过最高限价，否则作无效投标处理。</w:t>
      </w:r>
      <w:r>
        <w:rPr>
          <w:rFonts w:ascii="Arial" w:hAnsi="Arial" w:eastAsia="宋体" w:cs="Arial"/>
          <w:color w:val="000000"/>
          <w:szCs w:val="21"/>
          <w:highlight w:val="none"/>
          <w:lang w:val="en-US"/>
        </w:rPr>
      </w:r>
      <w:r/>
    </w:p>
    <w:p>
      <w:pPr>
        <w:pStyle w:val="842"/>
        <w:keepLines w:val="0"/>
        <w:keepNext w:val="0"/>
        <w:pageBreakBefore w:val="0"/>
        <w:spacing w:line="360" w:lineRule="auto"/>
        <w:widowControl w:val="off"/>
        <w:rPr>
          <w:rFonts w:hint="eastAsia"/>
          <w:color w:val="000000"/>
          <w:highlight w:val="none"/>
          <w:lang w:val="en-US" w:eastAsia="zh-CN"/>
        </w:rPr>
      </w:pPr>
      <w:r>
        <w:rPr>
          <w:rFonts w:hint="eastAsia" w:ascii="Arial" w:hAnsi="Arial" w:cs="Arial"/>
          <w:color w:val="000000"/>
          <w:szCs w:val="21"/>
          <w:highlight w:val="none"/>
          <w:lang w:val="en-US" w:eastAsia="zh-CN"/>
        </w:rPr>
        <w:t xml:space="preserve">采购需求：分包一：南京市高淳区宝塔小学等校智慧体育设备采购</w:t>
      </w:r>
      <w:r>
        <w:rPr>
          <w:rFonts w:hint="eastAsia"/>
          <w:color w:val="000000"/>
          <w:highlight w:val="none"/>
          <w:lang w:eastAsia="zh-CN"/>
        </w:rPr>
        <w:t xml:space="preserve">；</w:t>
      </w:r>
      <w:r>
        <w:rPr>
          <w:rFonts w:hint="eastAsia"/>
          <w:color w:val="000000"/>
          <w:highlight w:val="none"/>
          <w:lang w:val="en-US" w:eastAsia="zh-CN"/>
        </w:rPr>
        <w:t xml:space="preserve">分包二：南京市六合区实验小学等校智慧体育设备采购。</w:t>
      </w:r>
      <w:r>
        <w:rPr>
          <w:rFonts w:hint="eastAsia"/>
          <w:color w:val="000000"/>
          <w:highlight w:val="none"/>
          <w:lang w:val="en-US" w:eastAsia="zh-CN"/>
        </w:rPr>
      </w:r>
      <w:r/>
    </w:p>
    <w:p>
      <w:pPr>
        <w:pStyle w:val="842"/>
        <w:keepLines w:val="0"/>
        <w:keepNext w:val="0"/>
        <w:pageBreakBefore w:val="0"/>
        <w:spacing w:line="360" w:lineRule="auto"/>
        <w:widowControl w:val="off"/>
        <w:rPr>
          <w:color w:val="000000"/>
          <w:highlight w:val="none"/>
          <w:lang w:val="en-US" w:eastAsia="zh-CN"/>
        </w:rPr>
      </w:pPr>
      <w:r>
        <w:rPr>
          <w:color w:val="000000"/>
          <w:highlight w:val="none"/>
          <w:lang w:val="en-US" w:eastAsia="zh-CN"/>
        </w:rPr>
        <w:t xml:space="preserve">为保障项目整体进度、缩短周期、避免干扰学校正常教学活动，结合项目实际需求，本项目共划分2个采购包进行招标。各投标人均可就本项目2个采购包同时参与投标，实行兼投不兼中的投标及中标原则。评标委员会按照分包1、分包2的顺序进行评标。</w:t>
      </w:r>
      <w:r>
        <w:rPr>
          <w:color w:val="000000"/>
          <w:highlight w:val="none"/>
          <w:lang w:val="en-US" w:eastAsia="zh-CN"/>
        </w:rPr>
      </w:r>
      <w:r/>
    </w:p>
    <w:p>
      <w:pPr>
        <w:pStyle w:val="842"/>
        <w:keepLines w:val="0"/>
        <w:keepNext w:val="0"/>
        <w:pageBreakBefore w:val="0"/>
        <w:spacing w:line="360" w:lineRule="auto"/>
        <w:widowControl w:val="off"/>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合</w:t>
      </w:r>
      <w:r>
        <w:rPr>
          <w:rFonts w:hint="eastAsia" w:ascii="Arial" w:hAnsi="Arial" w:eastAsia="宋体" w:cs="Arial"/>
          <w:color w:val="000000"/>
          <w:szCs w:val="21"/>
          <w:highlight w:val="none"/>
          <w:lang w:val="en-US" w:eastAsia="zh-CN"/>
        </w:rPr>
        <w:t xml:space="preserve">同履行期限：自签订合同之日起90天</w:t>
      </w:r>
      <w:r>
        <w:rPr>
          <w:rFonts w:ascii="Arial" w:hAnsi="Arial" w:eastAsia="宋体" w:cs="Arial"/>
          <w:color w:val="000000"/>
          <w:szCs w:val="21"/>
          <w:highlight w:val="none"/>
          <w:lang w:val="en-US" w:eastAsia="zh-CN"/>
        </w:rPr>
      </w:r>
      <w:r/>
    </w:p>
    <w:p>
      <w:pPr>
        <w:pStyle w:val="842"/>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本项目所属行业：工业</w:t>
      </w:r>
      <w:r>
        <w:rPr>
          <w:rFonts w:hint="eastAsia" w:ascii="Arial" w:hAnsi="Arial" w:cs="Arial"/>
          <w:color w:val="000000"/>
          <w:szCs w:val="21"/>
          <w:highlight w:val="none"/>
        </w:rPr>
      </w:r>
      <w:r/>
    </w:p>
    <w:p>
      <w:pPr>
        <w:pStyle w:val="842"/>
        <w:keepLines w:val="0"/>
        <w:keepNext w:val="0"/>
        <w:pageBreakBefore w:val="0"/>
        <w:spacing w:line="360" w:lineRule="auto"/>
        <w:rPr>
          <w:rFonts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本项目不接受进口产品投标</w:t>
      </w:r>
      <w:r>
        <w:rPr>
          <w:rFonts w:ascii="Arial" w:hAnsi="Arial" w:eastAsia="宋体" w:cs="Arial"/>
          <w:color w:val="000000"/>
          <w:szCs w:val="21"/>
          <w:highlight w:val="none"/>
          <w:lang w:val="en-US" w:eastAsia="zh-CN"/>
        </w:rPr>
      </w:r>
      <w:r/>
    </w:p>
    <w:p>
      <w:pPr>
        <w:pStyle w:val="842"/>
        <w:keepLines w:val="0"/>
        <w:keepNext w:val="0"/>
        <w:pageBreakBefore w:val="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本项目不接受联合体投标。</w:t>
      </w:r>
      <w:r>
        <w:rPr>
          <w:rFonts w:hint="eastAsia" w:ascii="Arial" w:hAnsi="Arial" w:cs="Arial"/>
          <w:color w:val="000000"/>
          <w:szCs w:val="21"/>
          <w:highlight w:val="none"/>
        </w:rPr>
      </w:r>
      <w:r/>
    </w:p>
    <w:p>
      <w:pPr>
        <w:pStyle w:val="842"/>
        <w:keepLines w:val="0"/>
        <w:keepNext w:val="0"/>
        <w:pageBreakBefore w:val="0"/>
        <w:spacing w:line="360" w:lineRule="auto"/>
        <w:rPr>
          <w:rFonts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本项目属于非专门面向中小企业（残疾人福利性单位、监狱企业）采购</w:t>
      </w:r>
      <w:r>
        <w:rPr>
          <w:rFonts w:ascii="Arial" w:hAnsi="Arial" w:cs="Arial"/>
          <w:color w:val="000000"/>
          <w:szCs w:val="21"/>
          <w:highlight w:val="none"/>
          <w:lang w:val="en-US" w:eastAsia="zh-CN"/>
        </w:rPr>
      </w:r>
      <w:r/>
    </w:p>
    <w:p>
      <w:pPr>
        <w:pStyle w:val="842"/>
        <w:numPr>
          <w:ilvl w:val="0"/>
          <w:numId w:val="2"/>
        </w:numPr>
        <w:keepLines w:val="0"/>
        <w:keepNext w:val="0"/>
        <w:pageBreakBefore w:val="0"/>
        <w:spacing w:line="360" w:lineRule="auto"/>
        <w:rPr>
          <w:rFonts w:hint="eastAsia"/>
          <w:b/>
          <w:bCs/>
          <w:highlight w:val="none"/>
        </w:rPr>
      </w:pPr>
      <w:r>
        <w:rPr>
          <w:rFonts w:hint="eastAsia"/>
          <w:b/>
          <w:bCs/>
          <w:highlight w:val="none"/>
        </w:rPr>
        <w:t xml:space="preserve">申请人的资格要求：</w:t>
      </w:r>
      <w:r>
        <w:rPr>
          <w:rFonts w:hint="eastAsia"/>
          <w:b/>
          <w:bCs/>
          <w:highlight w:val="none"/>
        </w:rPr>
      </w:r>
      <w:r/>
    </w:p>
    <w:p>
      <w:pPr>
        <w:pStyle w:val="842"/>
        <w:numPr>
          <w:ilvl w:val="0"/>
          <w:numId w:val="0"/>
        </w:numPr>
        <w:keepLines w:val="0"/>
        <w:keepNext w:val="0"/>
        <w:pageBreakBefore w:val="0"/>
        <w:spacing w:line="360" w:lineRule="auto"/>
        <w:rPr>
          <w:rFonts w:hint="eastAsia" w:ascii="Times New Roman" w:hAnsi="Times New Roman" w:eastAsia="宋体" w:cs="Times New Roman"/>
          <w:b/>
          <w:bCs/>
          <w:highlight w:val="none"/>
        </w:rPr>
      </w:pPr>
      <w:r/>
      <w:bookmarkStart w:id="4" w:name="_Toc28359007"/>
      <w:r/>
      <w:bookmarkStart w:id="5" w:name="_Toc35393794"/>
      <w:r/>
      <w:bookmarkStart w:id="6" w:name="_Toc28359084"/>
      <w:r/>
      <w:bookmarkStart w:id="7" w:name="_Toc35393625"/>
      <w:r>
        <w:rPr>
          <w:rFonts w:hint="eastAsia" w:ascii="Times New Roman" w:hAnsi="Times New Roman" w:eastAsia="宋体" w:cs="Times New Roman"/>
          <w:b/>
          <w:bCs/>
          <w:highlight w:val="none"/>
          <w:lang w:val="en-US" w:eastAsia="zh-CN"/>
        </w:rPr>
        <w:t xml:space="preserve">1、</w:t>
      </w:r>
      <w:r>
        <w:rPr>
          <w:rFonts w:hint="eastAsia" w:ascii="Times New Roman" w:hAnsi="Times New Roman" w:eastAsia="宋体" w:cs="Times New Roman"/>
          <w:b/>
          <w:bCs/>
          <w:highlight w:val="none"/>
        </w:rPr>
        <w:t xml:space="preserve">满足《中华人民共和国政府采购法》第二十二条规定:</w:t>
      </w:r>
      <w:r>
        <w:rPr>
          <w:rFonts w:hint="eastAsia" w:ascii="Times New Roman" w:hAnsi="Times New Roman" w:eastAsia="宋体" w:cs="Times New Roman"/>
          <w:b/>
          <w:bCs/>
          <w:highlight w:val="none"/>
        </w:rPr>
      </w:r>
      <w:r/>
    </w:p>
    <w:p>
      <w:pPr>
        <w:pStyle w:val="842"/>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b/>
          <w:bCs/>
          <w:highlight w:val="none"/>
          <w:lang w:val="en-US" w:eastAsia="zh-CN"/>
        </w:rPr>
        <w:t xml:space="preserve">1.1</w:t>
      </w:r>
      <w:r>
        <w:rPr>
          <w:rFonts w:hint="eastAsia" w:ascii="宋体" w:hAnsi="宋体" w:eastAsia="宋体" w:cs="Times New Roman"/>
          <w:highlight w:val="none"/>
        </w:rPr>
        <w:t xml:space="preserve">根据《中华人民共和国政府采购法》第二十二条规定，投标人</w:t>
      </w:r>
      <w:r>
        <w:rPr>
          <w:rFonts w:hint="eastAsia" w:ascii="宋体" w:hAnsi="宋体" w:eastAsia="宋体" w:cs="Times New Roman"/>
          <w:highlight w:val="none"/>
          <w:lang w:val="en-US" w:eastAsia="zh-CN"/>
        </w:rPr>
        <w:t xml:space="preserve">可</w:t>
      </w:r>
      <w:r>
        <w:rPr>
          <w:rFonts w:hint="eastAsia" w:ascii="宋体" w:hAnsi="宋体" w:eastAsia="宋体" w:cs="Times New Roman"/>
          <w:highlight w:val="none"/>
        </w:rPr>
        <w:t xml:space="preserve">提供《南京市政府采购供应商信用记录表暨信用承诺书》</w:t>
      </w: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eastAsia="zh-CN"/>
        </w:rPr>
      </w:r>
      <w:r/>
    </w:p>
    <w:p>
      <w:pPr>
        <w:pStyle w:val="842"/>
        <w:keepLines w:val="0"/>
        <w:keepNext w:val="0"/>
        <w:pageBreakBefore w:val="0"/>
        <w:spacing w:line="360" w:lineRule="auto"/>
        <w:rPr>
          <w:rFonts w:hint="eastAsia" w:ascii="宋体" w:hAnsi="宋体" w:eastAsia="宋体" w:cs="Times New Roman"/>
          <w:b/>
          <w:bCs/>
          <w:highlight w:val="none"/>
          <w:lang w:eastAsia="zh-CN"/>
        </w:rPr>
      </w:pPr>
      <w:r>
        <w:rPr>
          <w:rFonts w:hint="eastAsia" w:ascii="宋体" w:hAnsi="宋体" w:eastAsia="宋体" w:cs="Times New Roman"/>
          <w:b/>
          <w:bCs/>
          <w:highlight w:val="none"/>
          <w:lang w:eastAsia="zh-CN"/>
        </w:rPr>
        <w:t xml:space="preserve">其中不适用信用承诺的情形:</w:t>
      </w:r>
      <w:r>
        <w:rPr>
          <w:rFonts w:hint="eastAsia" w:ascii="宋体" w:hAnsi="宋体" w:eastAsia="宋体" w:cs="Times New Roman"/>
          <w:b/>
          <w:bCs/>
          <w:highlight w:val="none"/>
          <w:lang w:eastAsia="zh-CN"/>
        </w:rPr>
      </w:r>
      <w:r/>
    </w:p>
    <w:p>
      <w:pPr>
        <w:pStyle w:val="842"/>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lang w:eastAsia="zh-CN"/>
        </w:rPr>
        <w:t xml:space="preserve">供应商被列入严重失信主体名单；</w:t>
      </w:r>
      <w:r>
        <w:rPr>
          <w:rFonts w:hint="eastAsia" w:ascii="宋体" w:hAnsi="宋体" w:eastAsia="宋体" w:cs="Times New Roman"/>
          <w:highlight w:val="none"/>
          <w:lang w:eastAsia="zh-CN"/>
        </w:rPr>
      </w:r>
      <w:r/>
    </w:p>
    <w:p>
      <w:pPr>
        <w:pStyle w:val="842"/>
        <w:numPr>
          <w:ilvl w:val="0"/>
          <w:numId w:val="0"/>
        </w:numPr>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lang w:eastAsia="zh-CN"/>
        </w:rPr>
        <w:t xml:space="preserve">被相关监督部门作出行政处罚且尚处在处罚有效期内；</w:t>
      </w:r>
      <w:r>
        <w:rPr>
          <w:rFonts w:hint="eastAsia" w:ascii="宋体" w:hAnsi="宋体" w:eastAsia="宋体" w:cs="Times New Roman"/>
          <w:highlight w:val="none"/>
          <w:lang w:eastAsia="zh-CN"/>
        </w:rPr>
      </w:r>
      <w:r/>
    </w:p>
    <w:p>
      <w:pPr>
        <w:pStyle w:val="842"/>
        <w:numPr>
          <w:ilvl w:val="0"/>
          <w:numId w:val="0"/>
        </w:numPr>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 xml:space="preserve">3）</w:t>
      </w:r>
      <w:r>
        <w:rPr>
          <w:rFonts w:hint="eastAsia" w:ascii="宋体" w:hAnsi="宋体" w:eastAsia="宋体" w:cs="Times New Roman"/>
          <w:highlight w:val="none"/>
          <w:lang w:eastAsia="zh-CN"/>
        </w:rPr>
        <w:t xml:space="preserve">其他法律、行政法规规定的不适用信用承诺的情形。</w:t>
      </w:r>
      <w:r>
        <w:rPr>
          <w:rFonts w:hint="eastAsia" w:ascii="宋体" w:hAnsi="宋体" w:eastAsia="宋体" w:cs="Times New Roman"/>
          <w:highlight w:val="none"/>
          <w:lang w:eastAsia="zh-CN"/>
        </w:rPr>
      </w:r>
      <w:r/>
    </w:p>
    <w:p>
      <w:pPr>
        <w:pStyle w:val="842"/>
        <w:keepLines w:val="0"/>
        <w:keepNext w:val="0"/>
        <w:pageBreakBefore w:val="0"/>
        <w:spacing w:line="360" w:lineRule="auto"/>
        <w:rPr>
          <w:rFonts w:ascii="宋体" w:hAnsi="宋体" w:eastAsia="宋体" w:cs="Times New Roman"/>
          <w:highlight w:val="none"/>
          <w:lang w:val="en-US" w:eastAsia="zh-CN"/>
        </w:rPr>
      </w:pPr>
      <w:r>
        <w:rPr>
          <w:rFonts w:hint="eastAsia" w:ascii="宋体" w:hAnsi="宋体" w:eastAsia="宋体" w:cs="Times New Roman"/>
          <w:b/>
          <w:bCs/>
          <w:highlight w:val="none"/>
          <w:lang w:val="en-US" w:eastAsia="zh-CN"/>
        </w:rPr>
        <w:t xml:space="preserve">1.2</w:t>
      </w:r>
      <w:r>
        <w:rPr>
          <w:rFonts w:hint="eastAsia" w:ascii="宋体" w:hAnsi="宋体" w:eastAsia="宋体" w:cs="Times New Roman"/>
          <w:highlight w:val="none"/>
          <w:lang w:val="en-US" w:eastAsia="zh-CN"/>
        </w:rPr>
        <w:t xml:space="preserve">投标人提供在有效经营期内的营业执照。</w:t>
      </w:r>
      <w:r>
        <w:rPr>
          <w:rFonts w:ascii="宋体" w:hAnsi="宋体" w:eastAsia="宋体" w:cs="Times New Roman"/>
          <w:highlight w:val="none"/>
          <w:lang w:val="en-US" w:eastAsia="zh-CN"/>
        </w:rPr>
      </w:r>
      <w:r/>
    </w:p>
    <w:p>
      <w:pPr>
        <w:pStyle w:val="842"/>
        <w:keepLines w:val="0"/>
        <w:keepNext w:val="0"/>
        <w:pageBreakBefore w:val="0"/>
        <w:spacing w:line="360" w:lineRule="auto"/>
        <w:rPr>
          <w:rFonts w:ascii="宋体" w:hAnsi="宋体" w:eastAsia="宋体" w:cs="Times New Roman"/>
          <w:highlight w:val="none"/>
        </w:rPr>
      </w:pPr>
      <w:r>
        <w:rPr>
          <w:rFonts w:hint="eastAsia" w:ascii="宋体" w:hAnsi="宋体" w:eastAsia="宋体" w:cs="Times New Roman"/>
          <w:b/>
          <w:bCs/>
          <w:highlight w:val="none"/>
        </w:rPr>
        <w:t xml:space="preserve">2、落实政府采购政策需满足的资格要求：</w:t>
      </w:r>
      <w:r>
        <w:rPr>
          <w:rFonts w:hint="eastAsia" w:ascii="宋体" w:hAnsi="宋体" w:eastAsia="宋体" w:cs="Times New Roman"/>
          <w:highlight w:val="none"/>
          <w:lang w:val="en-US" w:eastAsia="zh-CN"/>
        </w:rPr>
        <w:t xml:space="preserve">无</w:t>
      </w:r>
      <w:r>
        <w:rPr>
          <w:rFonts w:hint="eastAsia" w:ascii="宋体" w:hAnsi="宋体" w:eastAsia="宋体" w:cs="Times New Roman"/>
          <w:highlight w:val="none"/>
        </w:rPr>
        <w:t xml:space="preserve">。</w:t>
      </w:r>
      <w:r>
        <w:rPr>
          <w:rFonts w:ascii="宋体" w:hAnsi="宋体" w:eastAsia="宋体" w:cs="Times New Roman"/>
          <w:highlight w:val="none"/>
        </w:rPr>
      </w:r>
      <w:r/>
    </w:p>
    <w:p>
      <w:pPr>
        <w:pStyle w:val="842"/>
        <w:keepLines w:val="0"/>
        <w:keepNext w:val="0"/>
        <w:pageBreakBefore w:val="0"/>
        <w:spacing w:line="360" w:lineRule="auto"/>
        <w:rPr>
          <w:rFonts w:hint="eastAsia" w:ascii="宋体" w:hAnsi="宋体" w:eastAsia="宋体" w:cs="Times New Roman"/>
          <w:b/>
          <w:bCs/>
          <w:highlight w:val="none"/>
          <w:lang w:val="en-US" w:eastAsia="zh-CN"/>
        </w:rPr>
      </w:pPr>
      <w:r>
        <w:rPr>
          <w:rFonts w:hint="eastAsia" w:ascii="宋体" w:hAnsi="宋体" w:eastAsia="宋体" w:cs="Times New Roman"/>
          <w:b/>
          <w:bCs/>
          <w:highlight w:val="none"/>
        </w:rPr>
        <w:t xml:space="preserve">3、本项目的特定资格要求：</w:t>
      </w:r>
      <w:r>
        <w:rPr>
          <w:rFonts w:hint="eastAsia" w:ascii="宋体" w:hAnsi="宋体" w:eastAsia="宋体" w:cs="Times New Roman"/>
          <w:b/>
          <w:bCs/>
          <w:highlight w:val="none"/>
          <w:lang w:val="en-US" w:eastAsia="zh-CN"/>
        </w:rPr>
        <w:t xml:space="preserve">无</w:t>
      </w:r>
      <w:r>
        <w:rPr>
          <w:rFonts w:hint="eastAsia" w:ascii="宋体" w:hAnsi="宋体" w:eastAsia="宋体" w:cs="Times New Roman"/>
          <w:b/>
          <w:bCs/>
          <w:highlight w:val="none"/>
          <w:lang w:val="en-US" w:eastAsia="zh-CN"/>
        </w:rPr>
      </w:r>
      <w:r/>
    </w:p>
    <w:p>
      <w:pPr>
        <w:pStyle w:val="842"/>
        <w:keepLines w:val="0"/>
        <w:keepNext w:val="0"/>
        <w:pageBreakBefore w:val="0"/>
        <w:spacing w:line="360" w:lineRule="auto"/>
        <w:rPr>
          <w:rFonts w:hint="eastAsia" w:ascii="宋体" w:hAnsi="宋体" w:eastAsia="宋体" w:cs="Times New Roman"/>
          <w:b/>
          <w:bCs/>
          <w:highlight w:val="none"/>
        </w:rPr>
      </w:pPr>
      <w:r/>
      <w:bookmarkStart w:id="8" w:name="_Toc35393792"/>
      <w:r/>
      <w:bookmarkStart w:id="9" w:name="_Toc35393623"/>
      <w:r>
        <w:rPr>
          <w:rFonts w:hint="eastAsia" w:ascii="宋体" w:hAnsi="宋体" w:eastAsia="宋体" w:cs="Times New Roman"/>
          <w:b/>
          <w:bCs/>
          <w:highlight w:val="none"/>
        </w:rPr>
        <w:t xml:space="preserve">4、拒绝下述供应商参加本次采购活动的情形：</w:t>
      </w:r>
      <w:r>
        <w:rPr>
          <w:rFonts w:hint="eastAsia" w:ascii="宋体" w:hAnsi="宋体" w:eastAsia="宋体" w:cs="Times New Roman"/>
          <w:b/>
          <w:bCs/>
          <w:highlight w:val="none"/>
        </w:rPr>
      </w:r>
      <w:r/>
    </w:p>
    <w:p>
      <w:pPr>
        <w:pStyle w:val="842"/>
        <w:keepLines w:val="0"/>
        <w:keepNext w:val="0"/>
        <w:pageBreakBefore w:val="0"/>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1）供应商单位负责人为同一人或者存在直接控股、管理关系的不同供应商，不得参加同一合同项下的政府采购活动；</w:t>
      </w:r>
      <w:r>
        <w:rPr>
          <w:rFonts w:hint="eastAsia" w:ascii="宋体" w:hAnsi="宋体" w:eastAsia="宋体" w:cs="Times New Roman"/>
          <w:highlight w:val="none"/>
        </w:rPr>
      </w:r>
      <w:r/>
    </w:p>
    <w:p>
      <w:pPr>
        <w:pStyle w:val="842"/>
        <w:keepLines w:val="0"/>
        <w:keepNext w:val="0"/>
        <w:pageBreakBefore w:val="0"/>
        <w:spacing w:line="360" w:lineRule="auto"/>
        <w:rPr>
          <w:rFonts w:hint="eastAsia" w:ascii="宋体" w:hAnsi="宋体" w:eastAsia="宋体" w:cs="Times New Roman"/>
          <w:highlight w:val="none"/>
          <w:lang w:eastAsia="zh-CN"/>
        </w:rPr>
      </w:pPr>
      <w:r>
        <w:rPr>
          <w:rFonts w:hint="eastAsia" w:ascii="宋体" w:hAnsi="宋体" w:eastAsia="宋体" w:cs="Times New Roman"/>
          <w:highlight w:val="none"/>
        </w:rPr>
        <w:t xml:space="preserve">2）凡为采购项目提供整体设计、规范编制或者项目管理、监理、检测等服务的供应商，不得再参加本项目的采购活动</w:t>
      </w: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eastAsia="zh-CN"/>
        </w:rPr>
      </w:r>
      <w:r/>
    </w:p>
    <w:p>
      <w:pPr>
        <w:pStyle w:val="1036"/>
        <w:ind w:firstLine="0"/>
        <w:keepLines w:val="0"/>
        <w:keepNext w:val="0"/>
        <w:pageBreakBefore w:val="0"/>
        <w:spacing w:line="360" w:lineRule="auto"/>
        <w:rPr>
          <w:rFonts w:hint="eastAsia" w:ascii="宋体" w:hAnsi="宋体" w:eastAsia="宋体" w:cs="Times New Roman"/>
          <w:b w:val="0"/>
          <w:sz w:val="21"/>
          <w:highlight w:val="none"/>
          <w:lang w:val="en-US" w:eastAsia="zh-CN" w:bidi="ar-SA"/>
        </w:rPr>
      </w:pPr>
      <w:r/>
      <w:bookmarkEnd w:id="8"/>
      <w:r/>
      <w:bookmarkEnd w:id="9"/>
      <w:r>
        <w:rPr>
          <w:rFonts w:hint="eastAsia" w:ascii="宋体" w:hAnsi="宋体" w:eastAsia="宋体" w:cs="Times New Roman"/>
          <w:b w:val="0"/>
          <w:sz w:val="21"/>
          <w:highlight w:val="none"/>
          <w:lang w:val="en-US" w:eastAsia="zh-CN" w:bidi="ar-SA"/>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Times New Roman"/>
          <w:b w:val="0"/>
          <w:sz w:val="21"/>
          <w:highlight w:val="none"/>
          <w:lang w:val="en-US" w:eastAsia="zh-CN" w:bidi="ar-SA"/>
        </w:rPr>
      </w:r>
      <w:r/>
    </w:p>
    <w:p>
      <w:pPr>
        <w:pStyle w:val="1036"/>
        <w:ind w:firstLine="0"/>
        <w:keepLines w:val="0"/>
        <w:keepNext w:val="0"/>
        <w:pageBreakBefore w:val="0"/>
        <w:spacing w:line="360" w:lineRule="auto"/>
        <w:rPr>
          <w:rFonts w:hint="eastAsia"/>
          <w:bCs/>
          <w:sz w:val="21"/>
          <w:highlight w:val="none"/>
        </w:rPr>
      </w:pPr>
      <w:r>
        <w:rPr>
          <w:rFonts w:hint="eastAsia"/>
          <w:bCs/>
          <w:sz w:val="21"/>
          <w:highlight w:val="none"/>
        </w:rPr>
        <w:t xml:space="preserve">三、获取招标文件</w:t>
      </w:r>
      <w:r>
        <w:rPr>
          <w:rFonts w:hint="eastAsia"/>
          <w:bCs/>
          <w:sz w:val="21"/>
          <w:highlight w:val="none"/>
        </w:rPr>
      </w:r>
      <w:r/>
    </w:p>
    <w:p>
      <w:pPr>
        <w:pStyle w:val="1036"/>
        <w:ind w:firstLine="0"/>
        <w:keepLines w:val="0"/>
        <w:keepNext w:val="0"/>
        <w:pageBreakBefore w:val="0"/>
        <w:spacing w:line="360" w:lineRule="auto"/>
        <w:rPr>
          <w:rFonts w:hint="eastAsia" w:ascii="宋体" w:hAnsi="宋体" w:eastAsia="宋体" w:cs="Times New Roman"/>
          <w:b w:val="0"/>
          <w:sz w:val="21"/>
          <w:highlight w:val="none"/>
          <w:lang w:val="en-US" w:eastAsia="zh-CN" w:bidi="ar-SA"/>
        </w:rPr>
      </w:pPr>
      <w:r>
        <w:rPr>
          <w:rFonts w:hint="eastAsia" w:ascii="宋体" w:hAnsi="宋体" w:eastAsia="宋体" w:cs="Times New Roman"/>
          <w:b w:val="0"/>
          <w:sz w:val="21"/>
          <w:highlight w:val="none"/>
          <w:lang w:val="en-US" w:eastAsia="zh-CN" w:bidi="ar-SA"/>
        </w:rPr>
        <w:t xml:space="preserve">1、时间：自招标文件公告发布之日起5个工作日。</w:t>
      </w:r>
      <w:r>
        <w:rPr>
          <w:rFonts w:hint="eastAsia" w:ascii="宋体" w:hAnsi="宋体" w:eastAsia="宋体" w:cs="Times New Roman"/>
          <w:b w:val="0"/>
          <w:sz w:val="21"/>
          <w:highlight w:val="none"/>
          <w:lang w:val="en-US" w:eastAsia="zh-CN" w:bidi="ar-SA"/>
        </w:rPr>
      </w:r>
      <w:r/>
    </w:p>
    <w:p>
      <w:pPr>
        <w:pStyle w:val="1036"/>
        <w:ind w:firstLine="0"/>
        <w:keepLines w:val="0"/>
        <w:keepNext w:val="0"/>
        <w:pageBreakBefore w:val="0"/>
        <w:spacing w:line="360" w:lineRule="auto"/>
        <w:rPr>
          <w:rFonts w:hint="eastAsia" w:ascii="宋体" w:hAnsi="宋体" w:eastAsia="宋体" w:cs="Times New Roman"/>
          <w:b w:val="0"/>
          <w:sz w:val="21"/>
          <w:highlight w:val="none"/>
          <w:lang w:val="en-US" w:eastAsia="zh-CN" w:bidi="ar-SA"/>
        </w:rPr>
      </w:pPr>
      <w:r>
        <w:rPr>
          <w:rFonts w:hint="eastAsia" w:ascii="宋体" w:hAnsi="宋体" w:eastAsia="宋体" w:cs="Times New Roman"/>
          <w:b w:val="0"/>
          <w:sz w:val="21"/>
          <w:highlight w:val="none"/>
          <w:lang w:val="en-US" w:eastAsia="zh-CN" w:bidi="ar-SA"/>
        </w:rPr>
        <w:t xml:space="preserve">2、方式：在“苏采云”系统自行免费下载招标文件。</w:t>
      </w:r>
      <w:r>
        <w:rPr>
          <w:rFonts w:hint="eastAsia" w:ascii="宋体" w:hAnsi="宋体" w:eastAsia="宋体" w:cs="Times New Roman"/>
          <w:b w:val="0"/>
          <w:sz w:val="21"/>
          <w:highlight w:val="none"/>
          <w:lang w:val="en-US" w:eastAsia="zh-CN" w:bidi="ar-SA"/>
        </w:rPr>
      </w:r>
      <w:r/>
    </w:p>
    <w:p>
      <w:pPr>
        <w:pStyle w:val="842"/>
        <w:keepLines w:val="0"/>
        <w:keepNext w:val="0"/>
        <w:pageBreakBefore w:val="0"/>
        <w:spacing w:line="360" w:lineRule="auto"/>
        <w:rPr>
          <w:rFonts w:hint="eastAsia"/>
          <w:b/>
          <w:bCs/>
          <w:highlight w:val="none"/>
        </w:rPr>
      </w:pPr>
      <w:r/>
      <w:bookmarkStart w:id="10" w:name="_Toc28359082"/>
      <w:r/>
      <w:bookmarkStart w:id="11" w:name="_Toc35393793"/>
      <w:r/>
      <w:bookmarkStart w:id="12" w:name="_Toc35393624"/>
      <w:r/>
      <w:bookmarkStart w:id="13" w:name="_Toc28359005"/>
      <w:r>
        <w:rPr>
          <w:rFonts w:hint="eastAsia"/>
          <w:b/>
          <w:bCs/>
          <w:highlight w:val="none"/>
        </w:rPr>
        <w:t xml:space="preserve">四、投标</w:t>
      </w:r>
      <w:bookmarkEnd w:id="10"/>
      <w:r/>
      <w:bookmarkEnd w:id="13"/>
      <w:r>
        <w:rPr>
          <w:rFonts w:hint="eastAsia"/>
          <w:b/>
          <w:bCs/>
          <w:highlight w:val="none"/>
        </w:rPr>
        <w:t xml:space="preserve">截止时间、开标时间和地点</w:t>
      </w:r>
      <w:bookmarkEnd w:id="11"/>
      <w:r/>
      <w:bookmarkEnd w:id="12"/>
      <w:r>
        <w:rPr>
          <w:rFonts w:hint="eastAsia"/>
          <w:b/>
          <w:bCs/>
          <w:highlight w:val="none"/>
        </w:rPr>
      </w:r>
      <w:r/>
    </w:p>
    <w:p>
      <w:pPr>
        <w:pStyle w:val="1041"/>
        <w:ind w:firstLine="0"/>
        <w:keepLines w:val="0"/>
        <w:keepNext w:val="0"/>
        <w:pageBreakBefore w:val="0"/>
        <w:rPr>
          <w:rFonts w:hint="eastAsia" w:ascii="宋体" w:hAnsi="宋体"/>
          <w:sz w:val="21"/>
          <w:szCs w:val="20"/>
          <w:highlight w:val="none"/>
        </w:rPr>
      </w:pPr>
      <w:r>
        <w:rPr>
          <w:rFonts w:hint="eastAsia" w:ascii="宋体" w:hAnsi="宋体"/>
          <w:sz w:val="21"/>
          <w:szCs w:val="20"/>
          <w:highlight w:val="none"/>
        </w:rPr>
        <w:t xml:space="preserve">1、投标截止时间：</w:t>
      </w:r>
      <w:r>
        <w:rPr>
          <w:rFonts w:hint="eastAsia" w:ascii="宋体" w:hAnsi="宋体" w:eastAsia="宋体" w:cs="Times New Roman"/>
          <w:sz w:val="21"/>
          <w:szCs w:val="20"/>
          <w:highlight w:val="none"/>
          <w:lang w:val="en-US" w:eastAsia="zh-CN" w:bidi="ar-SA"/>
        </w:rPr>
        <w:t xml:space="preserve">2026年6月29日9:30</w:t>
      </w:r>
      <w:r>
        <w:rPr>
          <w:rFonts w:hint="eastAsia" w:ascii="宋体" w:hAnsi="宋体"/>
          <w:sz w:val="21"/>
          <w:szCs w:val="20"/>
          <w:highlight w:val="none"/>
        </w:rPr>
        <w:t xml:space="preserve">（北京时间）</w:t>
      </w:r>
      <w:r>
        <w:rPr>
          <w:rFonts w:hint="eastAsia" w:ascii="宋体" w:hAnsi="宋体"/>
          <w:sz w:val="21"/>
          <w:szCs w:val="20"/>
          <w:highlight w:val="none"/>
        </w:rPr>
      </w:r>
      <w:r/>
    </w:p>
    <w:p>
      <w:pPr>
        <w:pStyle w:val="1041"/>
        <w:ind w:firstLine="0"/>
        <w:keepLines w:val="0"/>
        <w:keepNext w:val="0"/>
        <w:pageBreakBefore w:val="0"/>
        <w:rPr>
          <w:rFonts w:ascii="宋体" w:hAnsi="宋体" w:eastAsia="宋体"/>
          <w:sz w:val="21"/>
          <w:szCs w:val="20"/>
          <w:highlight w:val="none"/>
          <w:lang w:val="en-US" w:eastAsia="zh-CN"/>
        </w:rPr>
      </w:pPr>
      <w:r>
        <w:rPr>
          <w:rFonts w:hint="eastAsia" w:ascii="宋体" w:hAnsi="宋体"/>
          <w:sz w:val="21"/>
          <w:szCs w:val="20"/>
          <w:highlight w:val="none"/>
        </w:rPr>
        <w:t xml:space="preserve">2、开标时间：</w:t>
      </w:r>
      <w:r>
        <w:rPr>
          <w:rFonts w:hint="eastAsia" w:ascii="宋体" w:hAnsi="宋体" w:eastAsia="宋体" w:cs="Times New Roman"/>
          <w:sz w:val="21"/>
          <w:szCs w:val="20"/>
          <w:highlight w:val="none"/>
          <w:lang w:val="en-US" w:eastAsia="zh-CN" w:bidi="ar-SA"/>
        </w:rPr>
        <w:t xml:space="preserve">2026年6月29日9:30</w:t>
      </w:r>
      <w:r>
        <w:rPr>
          <w:rFonts w:hint="eastAsia" w:ascii="宋体" w:hAnsi="宋体"/>
          <w:sz w:val="21"/>
          <w:szCs w:val="20"/>
          <w:highlight w:val="none"/>
        </w:rPr>
        <w:t xml:space="preserve">（北京时间）</w:t>
      </w:r>
      <w:r>
        <w:rPr>
          <w:rFonts w:hint="eastAsia" w:ascii="宋体" w:hAnsi="宋体"/>
          <w:sz w:val="21"/>
          <w:szCs w:val="20"/>
          <w:highlight w:val="none"/>
          <w:lang w:val="en-US" w:eastAsia="zh-CN"/>
        </w:rPr>
        <w:t xml:space="preserve">  </w:t>
      </w:r>
      <w:r>
        <w:rPr>
          <w:rFonts w:ascii="宋体" w:hAnsi="宋体" w:eastAsia="宋体"/>
          <w:sz w:val="21"/>
          <w:szCs w:val="20"/>
          <w:highlight w:val="none"/>
          <w:lang w:val="en-US" w:eastAsia="zh-CN"/>
        </w:rPr>
      </w:r>
      <w:r/>
    </w:p>
    <w:p>
      <w:pPr>
        <w:pStyle w:val="1041"/>
        <w:ind w:firstLine="0"/>
        <w:keepLines w:val="0"/>
        <w:keepNext w:val="0"/>
        <w:pageBreakBefore w:val="0"/>
        <w:rPr>
          <w:rFonts w:hint="eastAsia" w:ascii="宋体" w:hAnsi="宋体"/>
          <w:sz w:val="21"/>
          <w:szCs w:val="20"/>
          <w:highlight w:val="none"/>
        </w:rPr>
      </w:pPr>
      <w:r>
        <w:rPr>
          <w:rFonts w:hint="eastAsia" w:ascii="宋体" w:hAnsi="宋体"/>
          <w:sz w:val="21"/>
          <w:szCs w:val="20"/>
          <w:highlight w:val="none"/>
        </w:rPr>
        <w:t xml:space="preserve">3、开标地点：“苏采云”系统（网址： http://jszfcg.jsczt.cn/）“开标大厅”，点击“苏采云”进入系统“开标大厅”。</w:t>
      </w:r>
      <w:r>
        <w:rPr>
          <w:rFonts w:hint="eastAsia" w:ascii="宋体" w:hAnsi="宋体"/>
          <w:sz w:val="21"/>
          <w:szCs w:val="20"/>
          <w:highlight w:val="none"/>
        </w:rPr>
      </w:r>
      <w:r/>
    </w:p>
    <w:p>
      <w:pPr>
        <w:pStyle w:val="842"/>
        <w:keepLines w:val="0"/>
        <w:keepNext w:val="0"/>
        <w:pageBreakBefore w:val="0"/>
        <w:spacing w:line="360" w:lineRule="auto"/>
        <w:rPr>
          <w:rFonts w:hint="eastAsia"/>
          <w:highlight w:val="none"/>
        </w:rPr>
      </w:pPr>
      <w:r>
        <w:rPr>
          <w:rFonts w:hint="eastAsia"/>
          <w:highlight w:val="none"/>
        </w:rPr>
        <w:t xml:space="preserve">注：各供应商请关注开标大厅交流区，在开标结束后，请勿离开开标大厅。</w:t>
      </w:r>
      <w:r>
        <w:rPr>
          <w:rFonts w:hint="eastAsia"/>
          <w:highlight w:val="none"/>
        </w:rPr>
      </w:r>
      <w:r/>
    </w:p>
    <w:p>
      <w:pPr>
        <w:pStyle w:val="842"/>
        <w:keepLines w:val="0"/>
        <w:keepNext w:val="0"/>
        <w:pageBreakBefore w:val="0"/>
        <w:spacing w:line="360" w:lineRule="auto"/>
        <w:rPr>
          <w:rFonts w:hint="eastAsia"/>
          <w:highlight w:val="none"/>
        </w:rPr>
      </w:pPr>
      <w:r>
        <w:rPr>
          <w:rFonts w:hint="eastAsia"/>
          <w:highlight w:val="none"/>
        </w:rPr>
        <w:t xml:space="preserve">4、投标文件的解密：开标当天各供应商及时登录不见面开标大厅，响应文件递交截止时间后，采购人将在系统内公布投标</w:t>
      </w:r>
      <w:r>
        <w:rPr>
          <w:rFonts w:hint="eastAsia"/>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highlight w:val="none"/>
        </w:rPr>
      </w:r>
      <w:r/>
    </w:p>
    <w:p>
      <w:pPr>
        <w:pStyle w:val="842"/>
        <w:keepLines w:val="0"/>
        <w:keepNext w:val="0"/>
        <w:pageBreakBefore w:val="0"/>
        <w:spacing w:line="360" w:lineRule="auto"/>
        <w:rPr>
          <w:rFonts w:hint="eastAsia"/>
          <w:b/>
          <w:bCs/>
          <w:highlight w:val="none"/>
        </w:rPr>
      </w:pPr>
      <w:r>
        <w:rPr>
          <w:rFonts w:hint="eastAsia"/>
          <w:b/>
          <w:bCs/>
          <w:highlight w:val="none"/>
        </w:rPr>
        <w:t xml:space="preserve">五、公告期限</w:t>
      </w:r>
      <w:bookmarkEnd w:id="4"/>
      <w:r/>
      <w:bookmarkEnd w:id="5"/>
      <w:r/>
      <w:bookmarkEnd w:id="6"/>
      <w:r/>
      <w:bookmarkEnd w:id="7"/>
      <w:r>
        <w:rPr>
          <w:rFonts w:hint="eastAsia"/>
          <w:b/>
          <w:bCs/>
          <w:highlight w:val="none"/>
        </w:rPr>
      </w:r>
      <w:r/>
    </w:p>
    <w:p>
      <w:pPr>
        <w:pStyle w:val="842"/>
        <w:keepLines w:val="0"/>
        <w:keepNext w:val="0"/>
        <w:pageBreakBefore w:val="0"/>
        <w:spacing w:line="360" w:lineRule="auto"/>
        <w:rPr>
          <w:rFonts w:hint="eastAsia"/>
          <w:highlight w:val="none"/>
        </w:rPr>
      </w:pPr>
      <w:r>
        <w:rPr>
          <w:rFonts w:hint="eastAsia"/>
          <w:highlight w:val="none"/>
        </w:rPr>
        <w:t xml:space="preserve">自本公告发布之日起5个工作日。</w:t>
      </w:r>
      <w:r>
        <w:rPr>
          <w:rFonts w:hint="eastAsia"/>
          <w:highlight w:val="none"/>
        </w:rPr>
      </w:r>
      <w:r/>
    </w:p>
    <w:p>
      <w:pPr>
        <w:pStyle w:val="842"/>
        <w:numPr>
          <w:ilvl w:val="0"/>
          <w:numId w:val="0"/>
        </w:numPr>
        <w:keepLines w:val="0"/>
        <w:keepNext w:val="0"/>
        <w:pageBreakBefore w:val="0"/>
        <w:spacing w:line="360" w:lineRule="auto"/>
        <w:rPr>
          <w:rFonts w:hint="eastAsia"/>
          <w:b/>
          <w:bCs/>
          <w:highlight w:val="none"/>
        </w:rPr>
      </w:pPr>
      <w:r/>
      <w:bookmarkStart w:id="14" w:name="_Toc35393626"/>
      <w:r/>
      <w:bookmarkStart w:id="15" w:name="_Toc35393795"/>
      <w:r>
        <w:rPr>
          <w:rFonts w:hint="eastAsia"/>
          <w:b/>
          <w:bCs/>
          <w:sz w:val="21"/>
          <w:highlight w:val="none"/>
          <w:lang w:val="en-US" w:eastAsia="zh-CN" w:bidi="ar-SA"/>
        </w:rPr>
        <w:t xml:space="preserve">六、</w:t>
      </w:r>
      <w:r>
        <w:rPr>
          <w:rFonts w:hint="eastAsia"/>
          <w:b/>
          <w:bCs/>
          <w:highlight w:val="none"/>
        </w:rPr>
        <w:t xml:space="preserve">其他补充事宜</w:t>
      </w:r>
      <w:bookmarkEnd w:id="14"/>
      <w:r/>
      <w:bookmarkEnd w:id="15"/>
      <w:r>
        <w:rPr>
          <w:rFonts w:hint="eastAsia"/>
          <w:b/>
          <w:bCs/>
          <w:highlight w:val="none"/>
        </w:rPr>
      </w:r>
      <w:r/>
    </w:p>
    <w:p>
      <w:pPr>
        <w:pStyle w:val="1036"/>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1、本项目公告媒体：江苏省政府采购网（http://www.ccgp-jiangsu.gov.cn/）、南京公共采购信息网（https://njgc.jfh.com/）</w:t>
      </w:r>
      <w:r>
        <w:rPr>
          <w:rFonts w:hint="eastAsia" w:ascii="宋体" w:hAnsi="宋体" w:cs="宋体"/>
          <w:b w:val="0"/>
          <w:sz w:val="21"/>
          <w:highlight w:val="none"/>
        </w:rPr>
      </w:r>
      <w:r/>
    </w:p>
    <w:p>
      <w:pPr>
        <w:pStyle w:val="1036"/>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b w:val="0"/>
          <w:sz w:val="21"/>
          <w:highlight w:val="none"/>
        </w:rPr>
      </w:r>
      <w:r/>
    </w:p>
    <w:p>
      <w:pPr>
        <w:pStyle w:val="1036"/>
        <w:ind w:firstLine="0"/>
        <w:keepLines w:val="0"/>
        <w:keepNext w:val="0"/>
        <w:pageBreakBefore w:val="0"/>
        <w:spacing w:line="360" w:lineRule="auto"/>
        <w:rPr>
          <w:rFonts w:hint="eastAsia" w:ascii="宋体" w:hAnsi="宋体" w:cs="宋体"/>
          <w:b w:val="0"/>
          <w:sz w:val="21"/>
          <w:highlight w:val="none"/>
        </w:rPr>
      </w:pPr>
      <w:r>
        <w:rPr>
          <w:rFonts w:hint="eastAsia" w:ascii="宋体" w:hAnsi="宋体" w:cs="宋体"/>
          <w:b w:val="0"/>
          <w:sz w:val="21"/>
          <w:highlight w:val="none"/>
        </w:rPr>
        <w:t xml:space="preserve">http://www.ccgp-jiangsu.gov.cn/jiangsu/zlxz/ee/ee3a4bc5a3454aa2b0d9312230633ce9.html。</w:t>
      </w:r>
      <w:r>
        <w:rPr>
          <w:rFonts w:hint="eastAsia" w:ascii="宋体" w:hAnsi="宋体" w:cs="宋体"/>
          <w:b w:val="0"/>
          <w:sz w:val="21"/>
          <w:highlight w:val="none"/>
        </w:rPr>
      </w:r>
      <w:r/>
    </w:p>
    <w:p>
      <w:pPr>
        <w:pStyle w:val="1036"/>
        <w:ind w:firstLine="0"/>
        <w:keepLines w:val="0"/>
        <w:keepNext w:val="0"/>
        <w:pageBreakBefore w:val="0"/>
        <w:spacing w:line="360" w:lineRule="auto"/>
        <w:rPr>
          <w:rFonts w:hint="eastAsia" w:ascii="宋体" w:hAnsi="宋体" w:eastAsia="宋体" w:cs="宋体"/>
          <w:b w:val="0"/>
          <w:sz w:val="21"/>
          <w:highlight w:val="none"/>
          <w:lang w:eastAsia="zh-CN"/>
        </w:rPr>
      </w:pPr>
      <w:r>
        <w:rPr>
          <w:rFonts w:hint="eastAsia" w:ascii="宋体" w:hAnsi="宋体" w:cs="宋体"/>
          <w:b w:val="0"/>
          <w:sz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rFonts w:hint="eastAsia" w:ascii="宋体" w:hAnsi="宋体" w:cs="宋体"/>
          <w:b w:val="0"/>
          <w:sz w:val="21"/>
          <w:highlight w:val="none"/>
          <w:lang w:eastAsia="zh-CN"/>
        </w:rPr>
        <w:t xml:space="preserve">；</w:t>
      </w:r>
      <w:r>
        <w:rPr>
          <w:rFonts w:hint="eastAsia" w:ascii="宋体" w:hAnsi="宋体" w:eastAsia="宋体" w:cs="宋体"/>
          <w:b w:val="0"/>
          <w:sz w:val="21"/>
          <w:highlight w:val="none"/>
          <w:lang w:eastAsia="zh-CN"/>
        </w:rPr>
      </w:r>
      <w:r/>
    </w:p>
    <w:p>
      <w:pPr>
        <w:pStyle w:val="842"/>
        <w:numPr>
          <w:ilvl w:val="0"/>
          <w:numId w:val="0"/>
        </w:numPr>
        <w:keepLines w:val="0"/>
        <w:keepNext w:val="0"/>
        <w:pageBreakBefore w:val="0"/>
        <w:spacing w:line="360" w:lineRule="auto"/>
        <w:rPr>
          <w:rFonts w:hint="eastAsia" w:eastAsia="宋体"/>
          <w:highlight w:val="none"/>
          <w:lang w:eastAsia="zh-CN"/>
        </w:rPr>
      </w:pPr>
      <w:r>
        <w:rPr>
          <w:rFonts w:hint="eastAsia"/>
          <w:highlight w:val="none"/>
          <w:lang w:val="en-US" w:eastAsia="zh-CN"/>
        </w:rPr>
        <w:t xml:space="preserve">3、</w:t>
      </w:r>
      <w:r>
        <w:rPr>
          <w:b/>
          <w:bCs/>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b/>
          <w:bCs/>
          <w:highlight w:val="none"/>
          <w:lang w:eastAsia="zh-CN"/>
        </w:rPr>
        <w:t xml:space="preserve">；</w:t>
      </w:r>
      <w:r>
        <w:rPr>
          <w:rFonts w:hint="eastAsia" w:eastAsia="宋体"/>
          <w:highlight w:val="none"/>
          <w:lang w:eastAsia="zh-CN"/>
        </w:rPr>
      </w:r>
      <w:r/>
    </w:p>
    <w:p>
      <w:pPr>
        <w:pStyle w:val="842"/>
        <w:numPr>
          <w:ilvl w:val="0"/>
          <w:numId w:val="0"/>
        </w:numPr>
        <w:keepLines w:val="0"/>
        <w:keepNext w:val="0"/>
        <w:pageBreakBefore w:val="0"/>
        <w:spacing w:line="360" w:lineRule="auto"/>
        <w:rPr>
          <w:rFonts w:hint="eastAsia"/>
          <w:highlight w:val="none"/>
        </w:rPr>
      </w:pPr>
      <w:r>
        <w:rPr>
          <w:rFonts w:hint="eastAsia"/>
          <w:sz w:val="21"/>
          <w:highlight w:val="none"/>
          <w:lang w:val="en-US" w:eastAsia="zh-CN" w:bidi="ar-SA"/>
        </w:rPr>
        <w:t xml:space="preserve">4、</w:t>
      </w:r>
      <w:r>
        <w:rPr>
          <w:rFonts w:hint="eastAsia"/>
          <w:highlight w:val="none"/>
        </w:rPr>
        <w:t xml:space="preserve">有关本次招标的事项若存在变动或修改，敬请及时关注在“江苏政府采购网”、“南京公共采购信息网”发布的更正公告。</w:t>
      </w:r>
      <w:r>
        <w:rPr>
          <w:rFonts w:hint="eastAsia"/>
          <w:highlight w:val="none"/>
        </w:rPr>
      </w:r>
      <w:r/>
    </w:p>
    <w:p>
      <w:pPr>
        <w:pStyle w:val="842"/>
        <w:keepLines w:val="0"/>
        <w:keepNext w:val="0"/>
        <w:pageBreakBefore w:val="0"/>
        <w:spacing w:line="360" w:lineRule="auto"/>
        <w:rPr>
          <w:rFonts w:hint="eastAsia"/>
          <w:b/>
          <w:bCs/>
          <w:highlight w:val="none"/>
        </w:rPr>
      </w:pPr>
      <w:r/>
      <w:bookmarkStart w:id="16" w:name="_Toc35393796"/>
      <w:r/>
      <w:bookmarkStart w:id="17" w:name="_Toc28359085"/>
      <w:r/>
      <w:bookmarkStart w:id="18" w:name="_Toc28359008"/>
      <w:r/>
      <w:bookmarkStart w:id="19" w:name="_Toc35393627"/>
      <w:r>
        <w:rPr>
          <w:rFonts w:hint="eastAsia"/>
          <w:b/>
          <w:bCs/>
          <w:highlight w:val="none"/>
        </w:rPr>
        <w:t xml:space="preserve">七、对本次招标提出询问，请按以下方式联系</w:t>
      </w:r>
      <w:bookmarkEnd w:id="16"/>
      <w:r/>
      <w:bookmarkEnd w:id="17"/>
      <w:r/>
      <w:bookmarkEnd w:id="18"/>
      <w:r/>
      <w:bookmarkEnd w:id="19"/>
      <w:r>
        <w:rPr>
          <w:rFonts w:hint="eastAsia"/>
          <w:b/>
          <w:bCs/>
          <w:highlight w:val="none"/>
        </w:rPr>
      </w:r>
      <w:r/>
    </w:p>
    <w:p>
      <w:pPr>
        <w:pStyle w:val="842"/>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1.采购人信息</w:t>
      </w:r>
      <w:r>
        <w:rPr>
          <w:rFonts w:hint="eastAsia" w:ascii="宋体" w:hAnsi="宋体" w:cs="宋体"/>
          <w:szCs w:val="21"/>
          <w:highlight w:val="none"/>
        </w:rPr>
      </w:r>
      <w:r/>
    </w:p>
    <w:p>
      <w:pPr>
        <w:pStyle w:val="842"/>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南京市教育技术装备中心</w:t>
      </w:r>
      <w:r>
        <w:rPr>
          <w:rFonts w:hint="eastAsia" w:ascii="宋体" w:hAnsi="宋体" w:cs="宋体"/>
          <w:szCs w:val="21"/>
          <w:highlight w:val="none"/>
        </w:rPr>
        <w:t xml:space="preserve">　　　　　　　　　　</w:t>
      </w:r>
      <w:r>
        <w:rPr>
          <w:rFonts w:hint="eastAsia" w:ascii="宋体" w:hAnsi="宋体" w:cs="宋体"/>
          <w:szCs w:val="21"/>
          <w:highlight w:val="none"/>
        </w:rPr>
      </w:r>
      <w:r/>
    </w:p>
    <w:p>
      <w:pPr>
        <w:pStyle w:val="842"/>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江苏省南京市秦淮区马府街18号</w:t>
      </w:r>
      <w:r>
        <w:rPr>
          <w:rFonts w:hint="eastAsia" w:ascii="宋体" w:hAnsi="宋体" w:cs="宋体"/>
          <w:szCs w:val="21"/>
          <w:highlight w:val="none"/>
        </w:rPr>
      </w:r>
      <w:r/>
    </w:p>
    <w:p>
      <w:pPr>
        <w:pStyle w:val="842"/>
        <w:keepLines w:val="0"/>
        <w:keepNext w:val="0"/>
        <w:pageBreakBefore w:val="0"/>
        <w:spacing w:line="360" w:lineRule="auto"/>
        <w:widowControl w:val="off"/>
        <w:rPr>
          <w:rFonts w:ascii="宋体" w:hAnsi="宋体" w:cs="宋体"/>
          <w:szCs w:val="21"/>
          <w:highlight w:val="none"/>
        </w:rPr>
      </w:pPr>
      <w:r/>
      <w:bookmarkStart w:id="20" w:name="_Toc28359086"/>
      <w:r/>
      <w:bookmarkStart w:id="21" w:name="_Toc28359009"/>
      <w:r>
        <w:rPr>
          <w:rFonts w:hint="eastAsia" w:ascii="宋体" w:hAnsi="宋体" w:cs="宋体"/>
          <w:szCs w:val="21"/>
          <w:highlight w:val="none"/>
          <w:lang w:val="zh-CN"/>
        </w:rPr>
        <w:t xml:space="preserve">联系人：</w:t>
      </w:r>
      <w:r>
        <w:rPr>
          <w:rFonts w:hint="eastAsia" w:ascii="宋体" w:hAnsi="宋体" w:cs="宋体"/>
          <w:szCs w:val="21"/>
          <w:highlight w:val="none"/>
          <w:lang w:val="en-US" w:eastAsia="zh-CN"/>
        </w:rPr>
        <w:t xml:space="preserve">张老师</w:t>
      </w:r>
      <w:r>
        <w:rPr>
          <w:rFonts w:hint="eastAsia" w:ascii="宋体" w:hAnsi="宋体" w:cs="宋体"/>
          <w:szCs w:val="21"/>
          <w:highlight w:val="none"/>
          <w:lang w:val="zh-CN"/>
        </w:rPr>
        <w:t xml:space="preserve">        </w:t>
      </w:r>
      <w:r>
        <w:rPr>
          <w:rFonts w:ascii="宋体" w:hAnsi="宋体" w:cs="宋体"/>
          <w:szCs w:val="21"/>
          <w:highlight w:val="none"/>
        </w:rPr>
      </w:r>
      <w:r/>
    </w:p>
    <w:p>
      <w:pPr>
        <w:pStyle w:val="842"/>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cs="宋体"/>
          <w:szCs w:val="21"/>
          <w:highlight w:val="none"/>
          <w:lang w:val="zh-CN"/>
        </w:rPr>
        <w:t xml:space="preserve">联系电话：</w:t>
      </w:r>
      <w:r>
        <w:rPr>
          <w:rFonts w:hint="eastAsia" w:ascii="Times New Roman" w:hAnsi="Times New Roman" w:eastAsia="宋体" w:cs="Times New Roman"/>
          <w:highlight w:val="none"/>
          <w:lang w:val="en-US" w:eastAsia="zh-CN"/>
        </w:rPr>
        <w:t xml:space="preserve">025-</w:t>
      </w:r>
      <w:r>
        <w:rPr>
          <w:rFonts w:hint="eastAsia" w:ascii="Times New Roman" w:hAnsi="Times New Roman" w:eastAsia="宋体" w:cs="Times New Roman"/>
          <w:highlight w:val="none"/>
        </w:rPr>
        <w:t xml:space="preserve">8</w:t>
      </w:r>
      <w:r>
        <w:rPr>
          <w:rFonts w:hint="eastAsia"/>
          <w:highlight w:val="none"/>
        </w:rPr>
        <w:t xml:space="preserve">455096</w:t>
      </w:r>
      <w:r>
        <w:rPr>
          <w:rFonts w:hint="eastAsia"/>
          <w:highlight w:val="none"/>
          <w:lang w:val="en-US" w:eastAsia="zh-CN"/>
        </w:rPr>
        <w:t xml:space="preserve">1</w:t>
      </w:r>
      <w:r>
        <w:rPr>
          <w:rFonts w:hint="eastAsia" w:ascii="宋体" w:hAnsi="宋体" w:eastAsia="宋体" w:cs="宋体"/>
          <w:szCs w:val="21"/>
          <w:highlight w:val="none"/>
          <w:lang w:val="en-US" w:eastAsia="zh-CN"/>
        </w:rPr>
      </w:r>
      <w:r/>
    </w:p>
    <w:p>
      <w:pPr>
        <w:pStyle w:val="842"/>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2.采购代理机构信息</w:t>
      </w:r>
      <w:bookmarkEnd w:id="20"/>
      <w:r/>
      <w:bookmarkEnd w:id="21"/>
      <w:r>
        <w:rPr>
          <w:rFonts w:hint="eastAsia" w:ascii="宋体" w:hAnsi="宋体" w:cs="宋体"/>
          <w:szCs w:val="21"/>
          <w:highlight w:val="none"/>
        </w:rPr>
      </w:r>
      <w:r/>
    </w:p>
    <w:p>
      <w:pPr>
        <w:pStyle w:val="842"/>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名 称：苏美达国际技术贸易有限公司</w:t>
      </w:r>
      <w:r>
        <w:rPr>
          <w:rFonts w:hint="eastAsia" w:ascii="宋体" w:hAnsi="宋体" w:cs="宋体"/>
          <w:szCs w:val="21"/>
          <w:highlight w:val="none"/>
        </w:rPr>
      </w:r>
      <w:r/>
    </w:p>
    <w:p>
      <w:pPr>
        <w:pStyle w:val="842"/>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南京市长江路198号苏美达大厦9F</w:t>
      </w:r>
      <w:r>
        <w:rPr>
          <w:rFonts w:hint="eastAsia" w:ascii="宋体" w:hAnsi="宋体" w:eastAsia="宋体" w:cs="宋体"/>
          <w:szCs w:val="21"/>
          <w:highlight w:val="none"/>
          <w:lang w:eastAsia="zh-CN"/>
        </w:rPr>
      </w:r>
      <w:r/>
    </w:p>
    <w:p>
      <w:pPr>
        <w:pStyle w:val="842"/>
        <w:keepLines w:val="0"/>
        <w:keepNext w:val="0"/>
        <w:pageBreakBefore w:val="0"/>
        <w:spacing w:line="360" w:lineRule="auto"/>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w:t>
      </w:r>
      <w:bookmarkStart w:id="22" w:name="_Toc28359010"/>
      <w:r/>
      <w:bookmarkStart w:id="23" w:name="_Toc28359087"/>
      <w:r>
        <w:rPr>
          <w:rFonts w:hint="eastAsia" w:ascii="宋体" w:hAnsi="宋体" w:cs="宋体"/>
          <w:color w:val="000000"/>
          <w:szCs w:val="21"/>
          <w:highlight w:val="none"/>
        </w:rPr>
        <w:t xml:space="preserve">人：</w:t>
      </w:r>
      <w:r>
        <w:rPr>
          <w:rFonts w:hint="eastAsia" w:ascii="宋体" w:hAnsi="宋体" w:cs="宋体"/>
          <w:color w:val="000000"/>
          <w:szCs w:val="21"/>
          <w:highlight w:val="none"/>
          <w:lang w:eastAsia="zh-CN"/>
        </w:rPr>
        <w:t xml:space="preserve">朱志云、</w:t>
      </w:r>
      <w:r>
        <w:rPr>
          <w:rFonts w:hint="eastAsia" w:ascii="宋体" w:hAnsi="宋体" w:cs="宋体"/>
          <w:color w:val="000000"/>
          <w:szCs w:val="21"/>
          <w:highlight w:val="none"/>
          <w:lang w:val="en-US" w:eastAsia="zh-CN"/>
        </w:rPr>
        <w:t xml:space="preserve">高雅婧、杨杨</w:t>
      </w:r>
      <w:r>
        <w:rPr>
          <w:rFonts w:ascii="宋体" w:hAnsi="宋体" w:eastAsia="宋体" w:cs="宋体"/>
          <w:color w:val="000000"/>
          <w:szCs w:val="21"/>
          <w:highlight w:val="none"/>
          <w:lang w:val="en-US" w:eastAsia="zh-CN"/>
        </w:rPr>
      </w:r>
      <w:r/>
    </w:p>
    <w:p>
      <w:pPr>
        <w:pStyle w:val="842"/>
        <w:keepLines w:val="0"/>
        <w:keepNext w:val="0"/>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eastAsia="zh-CN"/>
        </w:rPr>
        <w:t xml:space="preserve">025-84531057、84532452、84532455</w:t>
      </w:r>
      <w:r>
        <w:rPr>
          <w:rFonts w:hint="eastAsia" w:ascii="宋体" w:hAnsi="宋体" w:cs="宋体"/>
          <w:color w:val="000000"/>
          <w:szCs w:val="21"/>
          <w:highlight w:val="none"/>
          <w:lang w:eastAsia="zh-CN"/>
        </w:rPr>
      </w:r>
      <w:r/>
    </w:p>
    <w:p>
      <w:pPr>
        <w:pStyle w:val="842"/>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bookmarkEnd w:id="22"/>
      <w:r/>
      <w:bookmarkEnd w:id="23"/>
      <w:r>
        <w:rPr>
          <w:rFonts w:hint="eastAsia" w:ascii="宋体" w:hAnsi="宋体" w:cs="宋体"/>
          <w:color w:val="000000"/>
          <w:szCs w:val="21"/>
          <w:highlight w:val="none"/>
        </w:rPr>
      </w:r>
      <w:r/>
    </w:p>
    <w:p>
      <w:pPr>
        <w:pStyle w:val="842"/>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eastAsia="zh-CN"/>
        </w:rPr>
        <w:t xml:space="preserve">朱志云</w:t>
      </w:r>
      <w:r>
        <w:rPr>
          <w:rFonts w:hint="eastAsia" w:ascii="宋体" w:hAnsi="宋体" w:eastAsia="宋体" w:cs="宋体"/>
          <w:color w:val="000000"/>
          <w:szCs w:val="21"/>
          <w:highlight w:val="none"/>
          <w:lang w:eastAsia="zh-CN"/>
        </w:rPr>
      </w:r>
      <w:r/>
    </w:p>
    <w:p>
      <w:pPr>
        <w:pStyle w:val="842"/>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025-84531057、84532452、84532455</w:t>
      </w:r>
      <w:r>
        <w:rPr>
          <w:rFonts w:hint="eastAsia" w:ascii="宋体" w:hAnsi="宋体" w:eastAsia="宋体" w:cs="宋体"/>
          <w:color w:val="000000"/>
          <w:szCs w:val="21"/>
          <w:highlight w:val="none"/>
          <w:lang w:eastAsia="zh-CN"/>
        </w:rPr>
      </w:r>
      <w:r/>
    </w:p>
    <w:p>
      <w:pPr>
        <w:pStyle w:val="842"/>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邮箱：</w:t>
      </w: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"mailto:zhuzhiyun@sumec.com.cn" </w:instrText>
      </w:r>
      <w:r>
        <w:rPr>
          <w:rFonts w:hint="eastAsia" w:ascii="宋体" w:hAnsi="宋体" w:cs="宋体"/>
          <w:color w:val="000000"/>
          <w:szCs w:val="21"/>
          <w:highlight w:val="none"/>
        </w:rPr>
        <w:fldChar w:fldCharType="separate"/>
      </w:r>
      <w:r>
        <w:rPr>
          <w:rStyle w:val="1042"/>
          <w:rFonts w:hint="eastAsia" w:ascii="宋体" w:hAnsi="宋体" w:cs="宋体"/>
          <w:color w:val="000000"/>
          <w:szCs w:val="21"/>
          <w:highlight w:val="none"/>
        </w:rPr>
        <w:t xml:space="preserve">zhuzhiyun@sumec.com.cn</w:t>
      </w:r>
      <w:r>
        <w:rPr>
          <w:rFonts w:hint="eastAsia" w:ascii="宋体" w:hAnsi="宋体" w:cs="宋体"/>
          <w:color w:val="000000"/>
          <w:szCs w:val="21"/>
          <w:highlight w:val="none"/>
        </w:rPr>
        <w:fldChar w:fldCharType="end"/>
      </w:r>
      <w:bookmarkStart w:id="24" w:name="_Toc16975"/>
      <w:r/>
      <w:bookmarkStart w:id="25" w:name="_Toc28996"/>
      <w:r>
        <w:rPr>
          <w:rFonts w:hint="eastAsia" w:ascii="宋体" w:hAnsi="宋体" w:cs="宋体"/>
          <w:color w:val="000000"/>
          <w:szCs w:val="21"/>
          <w:highlight w:val="none"/>
        </w:rPr>
      </w:r>
      <w:r/>
    </w:p>
    <w:p>
      <w:pPr>
        <w:pStyle w:val="842"/>
        <w:spacing w:line="360" w:lineRule="auto"/>
        <w:rPr>
          <w:rFonts w:hint="eastAsia" w:ascii="宋体" w:hAnsi="宋体" w:cs="宋体"/>
          <w:szCs w:val="21"/>
          <w:highlight w:val="none"/>
        </w:rPr>
      </w:pPr>
      <w:r>
        <w:rPr>
          <w:rFonts w:hint="eastAsia" w:ascii="宋体" w:hAnsi="宋体" w:cs="宋体"/>
          <w:szCs w:val="21"/>
          <w:highlight w:val="none"/>
        </w:rPr>
      </w:r>
      <w:r/>
    </w:p>
    <w:p>
      <w:pPr>
        <w:pStyle w:val="842"/>
        <w:spacing w:line="360" w:lineRule="auto"/>
        <w:rPr>
          <w:rFonts w:hint="eastAsia" w:ascii="宋体" w:hAnsi="宋体" w:cs="宋体"/>
          <w:szCs w:val="21"/>
          <w:highlight w:val="none"/>
        </w:rPr>
      </w:pPr>
      <w:r>
        <w:rPr>
          <w:rFonts w:hint="eastAsia" w:ascii="宋体" w:hAnsi="宋体" w:cs="宋体"/>
          <w:szCs w:val="21"/>
          <w:highlight w:val="none"/>
        </w:rPr>
      </w:r>
      <w:r/>
    </w:p>
    <w:p>
      <w:pPr>
        <w:pStyle w:val="842"/>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br w:type="page" w:clear="all"/>
      </w:r>
      <w:r>
        <w:rPr>
          <w:rFonts w:ascii="Arial" w:hAnsi="Arial" w:eastAsia="黑体" w:cs="Arial"/>
          <w:b/>
          <w:color w:val="000000"/>
          <w:sz w:val="28"/>
          <w:szCs w:val="28"/>
          <w:highlight w:val="none"/>
        </w:rPr>
        <w:t xml:space="preserve">第二章 投标人须知</w:t>
      </w:r>
      <w:bookmarkEnd w:id="24"/>
      <w:r/>
      <w:bookmarkEnd w:id="25"/>
      <w:r>
        <w:rPr>
          <w:rFonts w:ascii="Arial" w:hAnsi="Arial" w:eastAsia="黑体" w:cs="Arial"/>
          <w:b/>
          <w:color w:val="000000"/>
          <w:sz w:val="28"/>
          <w:szCs w:val="28"/>
          <w:highlight w:val="none"/>
        </w:rPr>
      </w:r>
      <w:r/>
    </w:p>
    <w:p>
      <w:pPr>
        <w:pStyle w:val="842"/>
        <w:spacing w:line="440" w:lineRule="exact"/>
        <w:shd w:val="clear" w:color="auto" w:fill="ffffff"/>
        <w:widowControl/>
        <w:rPr>
          <w:rFonts w:ascii="Arial" w:hAnsi="Arial" w:cs="Arial"/>
          <w:b/>
          <w:bCs/>
          <w:color w:val="000000"/>
          <w:sz w:val="24"/>
          <w:highlight w:val="none"/>
        </w:rPr>
      </w:pPr>
      <w:r>
        <w:rPr>
          <w:rFonts w:ascii="Arial" w:hAnsi="Arial" w:cs="Arial"/>
          <w:b/>
          <w:bCs/>
          <w:color w:val="000000"/>
          <w:sz w:val="24"/>
          <w:highlight w:val="none"/>
        </w:rPr>
        <w:t xml:space="preserve">投标人须知前附表</w:t>
      </w:r>
      <w:r>
        <w:rPr>
          <w:rFonts w:ascii="Arial" w:hAnsi="Arial" w:cs="Arial"/>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842"/>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rPr>
                <w:rFonts w:ascii="Arial" w:hAnsi="Arial" w:cs="Arial"/>
                <w:b/>
                <w:color w:val="000000"/>
                <w:sz w:val="24"/>
                <w:highlight w:val="none"/>
              </w:rPr>
            </w:r>
            <w:r/>
          </w:p>
        </w:tc>
        <w:tc>
          <w:tcPr>
            <w:tcW w:w="8928" w:type="dxa"/>
            <w:vAlign w:val="center"/>
            <w:textDirection w:val="lrTb"/>
            <w:noWrap w:val="false"/>
          </w:tcPr>
          <w:p>
            <w:pPr>
              <w:pStyle w:val="842"/>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rPr>
                <w:rFonts w:ascii="Arial" w:hAnsi="Arial" w:cs="Arial"/>
                <w:b/>
                <w:color w:val="000000"/>
                <w:sz w:val="24"/>
                <w:highlight w:val="none"/>
              </w:rPr>
            </w:r>
            <w:r/>
          </w:p>
        </w:tc>
      </w:tr>
      <w:tr>
        <w:trPr>
          <w:trHeight w:val="240"/>
        </w:trPr>
        <w:tc>
          <w:tcPr>
            <w:tcW w:w="819" w:type="dxa"/>
            <w:vAlign w:val="center"/>
            <w:textDirection w:val="lrTb"/>
            <w:noWrap w:val="false"/>
          </w:tcPr>
          <w:p>
            <w:pPr>
              <w:pStyle w:val="842"/>
              <w:jc w:val="center"/>
              <w:spacing w:line="440" w:lineRule="exact"/>
              <w:rPr>
                <w:rFonts w:hint="eastAsia" w:ascii="Arial" w:hAnsi="Arial" w:cs="Arial"/>
                <w:b/>
                <w:color w:val="000000"/>
                <w:sz w:val="24"/>
                <w:highlight w:val="none"/>
              </w:rPr>
            </w:pPr>
            <w:r>
              <w:rPr>
                <w:rFonts w:hint="eastAsia" w:ascii="Arial" w:hAnsi="Arial" w:cs="Arial"/>
                <w:b/>
                <w:color w:val="000000"/>
                <w:sz w:val="24"/>
                <w:highlight w:val="none"/>
              </w:rPr>
              <w:t xml:space="preserve">1</w:t>
            </w:r>
            <w:r>
              <w:rPr>
                <w:rFonts w:hint="eastAsia" w:ascii="Arial" w:hAnsi="Arial" w:cs="Arial"/>
                <w:b/>
                <w:color w:val="000000"/>
                <w:sz w:val="24"/>
                <w:highlight w:val="none"/>
              </w:rPr>
            </w:r>
            <w:r/>
          </w:p>
        </w:tc>
        <w:tc>
          <w:tcPr>
            <w:tcW w:w="8928" w:type="dxa"/>
            <w:vAlign w:val="center"/>
            <w:textDirection w:val="lrTb"/>
            <w:noWrap w:val="false"/>
          </w:tcPr>
          <w:p>
            <w:pPr>
              <w:pStyle w:val="842"/>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南京市教育技术装备中心</w:t>
            </w:r>
            <w:r>
              <w:rPr>
                <w:rFonts w:hint="eastAsia" w:ascii="宋体" w:hAnsi="宋体" w:cs="宋体"/>
                <w:szCs w:val="21"/>
                <w:highlight w:val="none"/>
              </w:rPr>
              <w:t xml:space="preserve">　　　　　　　　　　</w:t>
            </w:r>
            <w:r>
              <w:rPr>
                <w:rFonts w:hint="eastAsia" w:ascii="宋体" w:hAnsi="宋体" w:cs="宋体"/>
                <w:szCs w:val="21"/>
                <w:highlight w:val="none"/>
              </w:rPr>
            </w:r>
            <w:r/>
          </w:p>
          <w:p>
            <w:pPr>
              <w:pStyle w:val="842"/>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江苏省南京市秦淮区马府街18号</w:t>
            </w:r>
            <w:r>
              <w:rPr>
                <w:rFonts w:hint="eastAsia" w:ascii="宋体" w:hAnsi="宋体" w:cs="宋体"/>
                <w:szCs w:val="21"/>
                <w:highlight w:val="none"/>
              </w:rPr>
            </w:r>
            <w:r/>
          </w:p>
          <w:p>
            <w:pPr>
              <w:pStyle w:val="842"/>
              <w:spacing w:line="360" w:lineRule="auto"/>
              <w:rPr>
                <w:rFonts w:ascii="宋体" w:hAnsi="宋体" w:cs="宋体"/>
                <w:szCs w:val="21"/>
                <w:highlight w:val="none"/>
              </w:rPr>
            </w:pPr>
            <w:r>
              <w:rPr>
                <w:rFonts w:hint="eastAsia" w:ascii="宋体" w:hAnsi="宋体" w:cs="宋体"/>
                <w:szCs w:val="21"/>
                <w:highlight w:val="none"/>
                <w:lang w:val="zh-CN"/>
              </w:rPr>
              <w:t xml:space="preserve">联系人： </w:t>
            </w:r>
            <w:r>
              <w:rPr>
                <w:rFonts w:hint="eastAsia" w:ascii="宋体" w:hAnsi="宋体" w:cs="宋体"/>
                <w:szCs w:val="21"/>
                <w:highlight w:val="none"/>
                <w:lang w:val="en-US" w:eastAsia="zh-CN"/>
              </w:rPr>
              <w:t xml:space="preserve">张老师</w:t>
            </w:r>
            <w:r>
              <w:rPr>
                <w:rFonts w:hint="eastAsia" w:ascii="宋体" w:hAnsi="宋体" w:cs="宋体"/>
                <w:szCs w:val="21"/>
                <w:highlight w:val="none"/>
                <w:lang w:val="zh-CN"/>
              </w:rPr>
              <w:t xml:space="preserve">       </w:t>
            </w:r>
            <w:r>
              <w:rPr>
                <w:rFonts w:ascii="宋体" w:hAnsi="宋体" w:cs="宋体"/>
                <w:szCs w:val="21"/>
                <w:highlight w:val="none"/>
              </w:rPr>
            </w:r>
            <w:r/>
          </w:p>
          <w:p>
            <w:pPr>
              <w:pStyle w:val="842"/>
              <w:spacing w:line="360" w:lineRule="auto"/>
              <w:rPr>
                <w:rFonts w:hint="eastAsia" w:ascii="Arial" w:hAnsi="Arial" w:eastAsia="宋体" w:cs="Arial"/>
                <w:b/>
                <w:color w:val="000000"/>
                <w:sz w:val="24"/>
                <w:highlight w:val="none"/>
                <w:lang w:eastAsia="zh-CN"/>
              </w:rPr>
            </w:pPr>
            <w:r>
              <w:rPr>
                <w:rFonts w:hint="eastAsia" w:ascii="宋体" w:hAnsi="宋体" w:cs="宋体"/>
                <w:szCs w:val="21"/>
                <w:highlight w:val="none"/>
                <w:lang w:val="zh-CN"/>
              </w:rPr>
              <w:t xml:space="preserve">联系电话：</w:t>
            </w:r>
            <w:r>
              <w:rPr>
                <w:rFonts w:hint="eastAsia" w:ascii="Times New Roman" w:hAnsi="Times New Roman" w:eastAsia="宋体" w:cs="Times New Roman"/>
                <w:highlight w:val="none"/>
                <w:lang w:val="en-US" w:eastAsia="zh-CN"/>
              </w:rPr>
              <w:t xml:space="preserve">025-</w:t>
            </w:r>
            <w:r>
              <w:rPr>
                <w:rFonts w:hint="eastAsia" w:ascii="Times New Roman" w:hAnsi="Times New Roman" w:eastAsia="宋体" w:cs="Times New Roman"/>
                <w:highlight w:val="none"/>
              </w:rPr>
              <w:t xml:space="preserve">8</w:t>
            </w:r>
            <w:r>
              <w:rPr>
                <w:rFonts w:hint="eastAsia"/>
                <w:highlight w:val="none"/>
              </w:rPr>
              <w:t xml:space="preserve">455096</w:t>
            </w:r>
            <w:r>
              <w:rPr>
                <w:rFonts w:hint="eastAsia"/>
                <w:highlight w:val="none"/>
                <w:lang w:val="en-US" w:eastAsia="zh-CN"/>
              </w:rPr>
              <w:t xml:space="preserve">1</w:t>
            </w:r>
            <w:r>
              <w:rPr>
                <w:rFonts w:hint="eastAsia" w:ascii="Arial" w:hAnsi="Arial" w:eastAsia="宋体" w:cs="Arial"/>
                <w:b/>
                <w:color w:val="000000"/>
                <w:sz w:val="24"/>
                <w:highlight w:val="none"/>
                <w:lang w:eastAsia="zh-CN"/>
              </w:rPr>
            </w:r>
            <w:r/>
          </w:p>
        </w:tc>
      </w:tr>
      <w:tr>
        <w:trPr>
          <w:trHeight w:val="240"/>
        </w:trPr>
        <w:tc>
          <w:tcPr>
            <w:tcW w:w="819" w:type="dxa"/>
            <w:vAlign w:val="center"/>
            <w:textDirection w:val="lrTb"/>
            <w:noWrap w:val="false"/>
          </w:tcPr>
          <w:p>
            <w:pPr>
              <w:pStyle w:val="842"/>
              <w:jc w:val="center"/>
              <w:spacing w:line="440" w:lineRule="exact"/>
              <w:rPr>
                <w:rFonts w:hint="eastAsia" w:ascii="Arial" w:hAnsi="Arial" w:cs="Arial"/>
                <w:b/>
                <w:color w:val="000000"/>
                <w:sz w:val="24"/>
                <w:highlight w:val="none"/>
              </w:rPr>
            </w:pPr>
            <w:r>
              <w:rPr>
                <w:rFonts w:hint="eastAsia" w:ascii="Arial" w:hAnsi="Arial" w:cs="Arial"/>
                <w:b/>
                <w:color w:val="000000"/>
                <w:sz w:val="24"/>
                <w:highlight w:val="none"/>
              </w:rPr>
              <w:t xml:space="preserve">2</w:t>
            </w:r>
            <w:r>
              <w:rPr>
                <w:rFonts w:hint="eastAsia" w:ascii="Arial" w:hAnsi="Arial" w:cs="Arial"/>
                <w:b/>
                <w:color w:val="000000"/>
                <w:sz w:val="24"/>
                <w:highlight w:val="none"/>
              </w:rPr>
            </w:r>
            <w:r/>
          </w:p>
        </w:tc>
        <w:tc>
          <w:tcPr>
            <w:tcW w:w="8928" w:type="dxa"/>
            <w:vAlign w:val="center"/>
            <w:textDirection w:val="lrTb"/>
            <w:noWrap w:val="false"/>
          </w:tcPr>
          <w:p>
            <w:pPr>
              <w:pStyle w:val="842"/>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采购代理机构：苏美达国际技术贸易有限公司</w:t>
            </w:r>
            <w:r>
              <w:rPr>
                <w:rFonts w:hint="eastAsia" w:ascii="Arial" w:hAnsi="Arial" w:cs="Arial"/>
                <w:color w:val="000000"/>
                <w:szCs w:val="21"/>
                <w:highlight w:val="none"/>
              </w:rPr>
            </w:r>
            <w:r/>
          </w:p>
          <w:p>
            <w:pPr>
              <w:pStyle w:val="842"/>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联 系 人：</w:t>
            </w:r>
            <w:r>
              <w:rPr>
                <w:rFonts w:hint="eastAsia" w:ascii="Arial" w:hAnsi="Arial" w:cs="Arial"/>
                <w:color w:val="000000"/>
                <w:szCs w:val="21"/>
                <w:highlight w:val="none"/>
                <w:lang w:eastAsia="zh-CN"/>
              </w:rPr>
              <w:t xml:space="preserve">朱志云、</w:t>
            </w:r>
            <w:r>
              <w:rPr>
                <w:rFonts w:hint="eastAsia" w:ascii="Arial" w:hAnsi="Arial" w:cs="Arial"/>
                <w:color w:val="000000"/>
                <w:szCs w:val="21"/>
                <w:highlight w:val="none"/>
                <w:lang w:val="en-US" w:eastAsia="zh-CN"/>
              </w:rPr>
              <w:t xml:space="preserve">高雅婧、杨扬</w:t>
            </w:r>
            <w:r>
              <w:rPr>
                <w:rFonts w:hint="eastAsia" w:ascii="Arial" w:hAnsi="Arial" w:cs="Arial"/>
                <w:color w:val="000000"/>
                <w:szCs w:val="21"/>
                <w:highlight w:val="none"/>
              </w:rPr>
              <w:t xml:space="preserve">   </w:t>
            </w:r>
            <w:r>
              <w:rPr>
                <w:rFonts w:hint="eastAsia" w:ascii="Arial" w:hAnsi="Arial" w:cs="Arial"/>
                <w:color w:val="000000"/>
                <w:szCs w:val="21"/>
                <w:highlight w:val="none"/>
              </w:rPr>
            </w:r>
            <w:r/>
          </w:p>
          <w:p>
            <w:pPr>
              <w:pStyle w:val="842"/>
              <w:spacing w:line="440" w:lineRule="exact"/>
              <w:shd w:val="clear" w:color="auto" w:fill="ffffff"/>
              <w:widowControl/>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rPr>
              <w:t xml:space="preserve">联系电话：</w:t>
            </w:r>
            <w:r>
              <w:rPr>
                <w:rFonts w:hint="eastAsia" w:ascii="Arial" w:hAnsi="Arial" w:cs="Arial"/>
                <w:color w:val="000000"/>
                <w:szCs w:val="21"/>
                <w:highlight w:val="none"/>
                <w:lang w:eastAsia="zh-CN"/>
              </w:rPr>
              <w:t xml:space="preserve">025-84531057、84532452、84532455</w:t>
            </w:r>
            <w:r>
              <w:rPr>
                <w:rFonts w:hint="eastAsia" w:ascii="Arial" w:hAnsi="Arial" w:cs="Arial"/>
                <w:color w:val="000000"/>
                <w:szCs w:val="21"/>
                <w:highlight w:val="none"/>
                <w:lang w:val="en-US" w:eastAsia="zh-CN"/>
              </w:rPr>
              <w:t xml:space="preserve"> </w:t>
            </w:r>
            <w:r>
              <w:rPr>
                <w:rFonts w:hint="eastAsia" w:ascii="Arial" w:hAnsi="Arial" w:eastAsia="宋体" w:cs="Arial"/>
                <w:color w:val="000000"/>
                <w:szCs w:val="21"/>
                <w:highlight w:val="none"/>
                <w:lang w:val="en-US" w:eastAsia="zh-CN"/>
              </w:rPr>
            </w:r>
            <w:r/>
          </w:p>
          <w:p>
            <w:pPr>
              <w:pStyle w:val="842"/>
              <w:spacing w:line="440" w:lineRule="exact"/>
              <w:shd w:val="clear" w:color="auto" w:fill="ffffff"/>
              <w:widowControl/>
              <w:rPr>
                <w:rFonts w:hint="eastAsia" w:ascii="Arial" w:hAnsi="Arial" w:eastAsia="宋体" w:cs="Arial"/>
                <w:szCs w:val="21"/>
                <w:highlight w:val="none"/>
                <w:lang w:eastAsia="zh-CN"/>
              </w:rPr>
            </w:pPr>
            <w:r>
              <w:rPr>
                <w:rFonts w:hint="eastAsia" w:ascii="Arial" w:hAnsi="Arial" w:cs="Arial"/>
                <w:color w:val="000000"/>
                <w:szCs w:val="21"/>
                <w:highlight w:val="none"/>
              </w:rPr>
              <w:t xml:space="preserve">联系地址：</w:t>
            </w:r>
            <w:r>
              <w:rPr>
                <w:rFonts w:hint="eastAsia" w:ascii="Arial" w:hAnsi="Arial" w:cs="Arial"/>
                <w:color w:val="000000"/>
                <w:szCs w:val="21"/>
                <w:highlight w:val="none"/>
                <w:lang w:eastAsia="zh-CN"/>
              </w:rPr>
              <w:t xml:space="preserve"> 南京市长江路198号苏美达大厦9F</w:t>
            </w:r>
            <w:r>
              <w:rPr>
                <w:rFonts w:hint="eastAsia" w:ascii="Arial" w:hAnsi="Arial" w:eastAsia="宋体" w:cs="Arial"/>
                <w:szCs w:val="21"/>
                <w:highlight w:val="none"/>
                <w:lang w:eastAsia="zh-CN"/>
              </w:rPr>
            </w:r>
            <w:r/>
          </w:p>
        </w:tc>
      </w:tr>
      <w:tr>
        <w:trPr>
          <w:trHeight w:val="240"/>
        </w:trPr>
        <w:tc>
          <w:tcPr>
            <w:tcW w:w="819" w:type="dxa"/>
            <w:vAlign w:val="center"/>
            <w:textDirection w:val="lrTb"/>
            <w:noWrap w:val="false"/>
          </w:tcPr>
          <w:p>
            <w:pPr>
              <w:pStyle w:val="842"/>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3</w:t>
            </w:r>
            <w:r>
              <w:rPr>
                <w:rFonts w:hint="eastAsia" w:ascii="Arial" w:hAnsi="Arial" w:cs="Arial"/>
                <w:b/>
                <w:color w:val="000000"/>
                <w:szCs w:val="21"/>
                <w:highlight w:val="none"/>
              </w:rPr>
            </w:r>
            <w:r/>
          </w:p>
        </w:tc>
        <w:tc>
          <w:tcPr>
            <w:tcW w:w="8928" w:type="dxa"/>
            <w:vAlign w:val="center"/>
            <w:textDirection w:val="lrTb"/>
            <w:noWrap w:val="false"/>
          </w:tcPr>
          <w:p>
            <w:pPr>
              <w:pStyle w:val="842"/>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w:t>
            </w:r>
            <w:r>
              <w:rPr>
                <w:rFonts w:hint="eastAsia" w:ascii="Arial" w:hAnsi="Arial" w:cs="Arial"/>
                <w:color w:val="000000"/>
                <w:szCs w:val="21"/>
                <w:highlight w:val="none"/>
                <w:lang w:eastAsia="zh-CN"/>
              </w:rPr>
              <w:t xml:space="preserve">南京市中小学智慧体育设备采购</w:t>
            </w:r>
            <w:r>
              <w:rPr>
                <w:rFonts w:hint="eastAsia" w:ascii="Arial" w:hAnsi="Arial" w:cs="Arial"/>
                <w:color w:val="000000"/>
                <w:szCs w:val="21"/>
                <w:highlight w:val="none"/>
              </w:rPr>
              <w:t xml:space="preserve"> </w:t>
            </w:r>
            <w:r>
              <w:rPr>
                <w:rFonts w:ascii="Arial" w:hAnsi="Arial" w:cs="Arial"/>
                <w:color w:val="000000"/>
                <w:szCs w:val="21"/>
                <w:highlight w:val="none"/>
              </w:rPr>
              <w:t xml:space="preserve"> </w:t>
            </w:r>
            <w:r>
              <w:rPr>
                <w:rFonts w:ascii="Arial" w:hAnsi="Arial" w:cs="Arial"/>
                <w:color w:val="000000"/>
                <w:szCs w:val="21"/>
                <w:highlight w:val="none"/>
              </w:rPr>
            </w:r>
            <w:r/>
          </w:p>
          <w:p>
            <w:pPr>
              <w:pStyle w:val="842"/>
              <w:spacing w:line="440" w:lineRule="exact"/>
              <w:shd w:val="clear" w:color="auto" w:fill="ffffff"/>
              <w:widowControl/>
              <w:rPr>
                <w:rFonts w:hint="eastAsia" w:ascii="Arial" w:hAnsi="Arial" w:cs="Arial"/>
                <w:b/>
                <w:color w:val="000000"/>
                <w:szCs w:val="21"/>
                <w:highlight w:val="none"/>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JSZC-320100-SMDG-G2026-0047</w:t>
            </w:r>
            <w:r>
              <w:rPr>
                <w:rFonts w:hint="eastAsia" w:ascii="Arial" w:hAnsi="Arial" w:cs="Arial"/>
                <w:b/>
                <w:color w:val="000000"/>
                <w:szCs w:val="21"/>
                <w:highlight w:val="none"/>
              </w:rPr>
            </w:r>
            <w:r/>
          </w:p>
        </w:tc>
      </w:tr>
      <w:tr>
        <w:trPr>
          <w:trHeight w:val="240"/>
        </w:trPr>
        <w:tc>
          <w:tcPr>
            <w:tcW w:w="819" w:type="dxa"/>
            <w:vAlign w:val="center"/>
            <w:textDirection w:val="lrTb"/>
            <w:noWrap w:val="false"/>
          </w:tcPr>
          <w:p>
            <w:pPr>
              <w:pStyle w:val="842"/>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4</w:t>
            </w:r>
            <w:r>
              <w:rPr>
                <w:rFonts w:hint="eastAsia" w:ascii="Arial" w:hAnsi="Arial" w:cs="Arial"/>
                <w:b/>
                <w:color w:val="000000"/>
                <w:szCs w:val="21"/>
                <w:highlight w:val="none"/>
              </w:rPr>
            </w:r>
            <w:r/>
          </w:p>
        </w:tc>
        <w:tc>
          <w:tcPr>
            <w:tcW w:w="8928" w:type="dxa"/>
            <w:vAlign w:val="center"/>
            <w:textDirection w:val="lrTb"/>
            <w:noWrap w:val="false"/>
          </w:tcPr>
          <w:p>
            <w:pPr>
              <w:pStyle w:val="842"/>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rPr>
                <w:rFonts w:hint="eastAsia" w:ascii="Arial" w:hAnsi="Arial" w:cs="Arial"/>
                <w:color w:val="000000"/>
                <w:szCs w:val="21"/>
                <w:highlight w:val="none"/>
              </w:rPr>
            </w:r>
            <w:r/>
          </w:p>
        </w:tc>
      </w:tr>
      <w:tr>
        <w:trPr>
          <w:trHeight w:val="240"/>
        </w:trPr>
        <w:tc>
          <w:tcPr>
            <w:tcW w:w="819" w:type="dxa"/>
            <w:vAlign w:val="center"/>
            <w:textDirection w:val="lrTb"/>
            <w:noWrap w:val="false"/>
          </w:tcPr>
          <w:p>
            <w:pPr>
              <w:pStyle w:val="842"/>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5</w:t>
            </w:r>
            <w:r>
              <w:rPr>
                <w:rFonts w:hint="eastAsia" w:ascii="Arial" w:hAnsi="Arial" w:cs="Arial"/>
                <w:b/>
                <w:color w:val="000000"/>
                <w:szCs w:val="21"/>
                <w:highlight w:val="none"/>
              </w:rPr>
            </w:r>
            <w:r/>
          </w:p>
        </w:tc>
        <w:tc>
          <w:tcPr>
            <w:tcW w:w="8928" w:type="dxa"/>
            <w:vAlign w:val="center"/>
            <w:textDirection w:val="lrTb"/>
            <w:noWrap w:val="false"/>
          </w:tcPr>
          <w:p>
            <w:pPr>
              <w:pStyle w:val="842"/>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rPr>
                <w:rFonts w:ascii="Arial" w:hAnsi="Arial" w:cs="Arial"/>
                <w:color w:val="000000"/>
                <w:szCs w:val="21"/>
                <w:highlight w:val="none"/>
              </w:rPr>
            </w:r>
            <w:r/>
          </w:p>
        </w:tc>
      </w:tr>
      <w:tr>
        <w:trPr>
          <w:trHeight w:val="475"/>
        </w:trPr>
        <w:tc>
          <w:tcPr>
            <w:tcW w:w="819" w:type="dxa"/>
            <w:vAlign w:val="center"/>
            <w:textDirection w:val="lrTb"/>
            <w:noWrap w:val="false"/>
          </w:tcPr>
          <w:p>
            <w:pPr>
              <w:pStyle w:val="842"/>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6</w:t>
            </w:r>
            <w:r>
              <w:rPr>
                <w:rFonts w:hint="eastAsia" w:ascii="Arial" w:hAnsi="Arial" w:cs="Arial"/>
                <w:b/>
                <w:color w:val="000000"/>
                <w:szCs w:val="21"/>
                <w:highlight w:val="none"/>
              </w:rPr>
            </w:r>
            <w:r/>
          </w:p>
        </w:tc>
        <w:tc>
          <w:tcPr>
            <w:tcW w:w="8928" w:type="dxa"/>
            <w:vAlign w:val="center"/>
            <w:textDirection w:val="lrTb"/>
            <w:noWrap w:val="false"/>
          </w:tcPr>
          <w:p>
            <w:pPr>
              <w:pStyle w:val="842"/>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：本项目无需缴纳投标保证金</w:t>
            </w:r>
            <w:r>
              <w:rPr>
                <w:rFonts w:ascii="Arial" w:hAnsi="Arial" w:cs="Arial"/>
                <w:b/>
                <w:color w:val="000000"/>
                <w:szCs w:val="21"/>
                <w:highlight w:val="none"/>
              </w:rPr>
            </w:r>
            <w:r/>
          </w:p>
        </w:tc>
      </w:tr>
      <w:tr>
        <w:trPr>
          <w:trHeight w:val="559"/>
        </w:trPr>
        <w:tc>
          <w:tcPr>
            <w:tcW w:w="819" w:type="dxa"/>
            <w:vAlign w:val="center"/>
            <w:textDirection w:val="lrTb"/>
            <w:noWrap w:val="false"/>
          </w:tcPr>
          <w:p>
            <w:pPr>
              <w:pStyle w:val="842"/>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7</w:t>
            </w:r>
            <w:r>
              <w:rPr>
                <w:rFonts w:hint="eastAsia" w:ascii="Arial" w:hAnsi="Arial" w:cs="Arial"/>
                <w:b/>
                <w:color w:val="000000"/>
                <w:szCs w:val="21"/>
                <w:highlight w:val="none"/>
              </w:rPr>
            </w:r>
            <w:r/>
          </w:p>
        </w:tc>
        <w:tc>
          <w:tcPr>
            <w:tcW w:w="8928" w:type="dxa"/>
            <w:vAlign w:val="center"/>
            <w:textDirection w:val="lrTb"/>
            <w:noWrap w:val="false"/>
          </w:tcPr>
          <w:p>
            <w:pPr>
              <w:pStyle w:val="842"/>
              <w:jc w:val="left"/>
              <w:spacing w:line="440" w:lineRule="exact"/>
              <w:rPr>
                <w:rFonts w:ascii="Arial" w:hAnsi="Arial" w:cs="Arial"/>
                <w:color w:val="000000"/>
                <w:szCs w:val="21"/>
                <w:highlight w:val="none"/>
              </w:rPr>
            </w:pPr>
            <w:r>
              <w:rPr>
                <w:rFonts w:ascii="Arial" w:hAnsi="Arial" w:cs="Arial"/>
                <w:color w:val="000000"/>
                <w:szCs w:val="21"/>
                <w:highlight w:val="none"/>
              </w:rPr>
              <w:t xml:space="preserve">投标文件接收截止时间：</w:t>
            </w:r>
            <w:r>
              <w:rPr>
                <w:rFonts w:hint="eastAsia" w:ascii="宋体" w:hAnsi="宋体" w:eastAsia="宋体" w:cs="Times New Roman"/>
                <w:sz w:val="21"/>
                <w:szCs w:val="20"/>
                <w:highlight w:val="none"/>
                <w:lang w:val="en-US" w:eastAsia="zh-CN" w:bidi="ar-SA"/>
              </w:rPr>
              <w:t xml:space="preserve">2026年6月29日9:30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ascii="Arial" w:hAnsi="Arial" w:cs="Arial"/>
                <w:color w:val="000000"/>
                <w:szCs w:val="21"/>
                <w:highlight w:val="none"/>
              </w:rPr>
            </w:r>
            <w:r/>
          </w:p>
          <w:p>
            <w:pPr>
              <w:pStyle w:val="842"/>
              <w:jc w:val="left"/>
              <w:spacing w:line="440" w:lineRule="exact"/>
              <w:rPr>
                <w:rFonts w:hint="eastAsia" w:ascii="Arial" w:hAnsi="Arial" w:eastAsia="宋体" w:cs="Arial"/>
                <w:color w:val="000000"/>
                <w:szCs w:val="21"/>
                <w:highlight w:val="none"/>
                <w:lang w:val="en-US" w:eastAsia="zh-CN"/>
              </w:rPr>
            </w:pPr>
            <w:r>
              <w:rPr>
                <w:rFonts w:ascii="Arial" w:hAnsi="Arial" w:cs="Arial"/>
                <w:color w:val="000000"/>
                <w:szCs w:val="21"/>
                <w:highlight w:val="none"/>
              </w:rPr>
              <w:t xml:space="preserve">开标时间：</w:t>
            </w:r>
            <w:r>
              <w:rPr>
                <w:rFonts w:hint="eastAsia" w:ascii="宋体" w:hAnsi="宋体" w:eastAsia="宋体" w:cs="Times New Roman"/>
                <w:sz w:val="21"/>
                <w:szCs w:val="20"/>
                <w:highlight w:val="none"/>
                <w:lang w:val="en-US" w:eastAsia="zh-CN" w:bidi="ar-SA"/>
              </w:rPr>
              <w:t xml:space="preserve">2026年6月29日9:30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hint="eastAsia" w:ascii="Arial" w:hAnsi="Arial" w:cs="Arial"/>
                <w:color w:val="000000"/>
                <w:szCs w:val="21"/>
                <w:highlight w:val="none"/>
                <w:lang w:val="en-US" w:eastAsia="zh-CN"/>
              </w:rPr>
              <w:t xml:space="preserve"> </w:t>
            </w:r>
            <w:r>
              <w:rPr>
                <w:rFonts w:hint="eastAsia" w:ascii="Arial" w:hAnsi="Arial" w:eastAsia="宋体" w:cs="Arial"/>
                <w:color w:val="000000"/>
                <w:szCs w:val="21"/>
                <w:highlight w:val="none"/>
                <w:lang w:val="en-US" w:eastAsia="zh-CN"/>
              </w:rPr>
            </w:r>
            <w:r/>
          </w:p>
          <w:p>
            <w:pPr>
              <w:pStyle w:val="842"/>
              <w:jc w:val="left"/>
              <w:spacing w:line="440" w:lineRule="exact"/>
              <w:rPr>
                <w:rFonts w:hint="eastAsia"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rPr>
                <w:rFonts w:hint="eastAsia" w:ascii="Arial" w:hAnsi="Arial" w:cs="Arial"/>
                <w:color w:val="000000"/>
                <w:szCs w:val="21"/>
                <w:highlight w:val="none"/>
              </w:rPr>
            </w:r>
            <w:r/>
          </w:p>
        </w:tc>
      </w:tr>
      <w:tr>
        <w:trPr>
          <w:trHeight w:val="390"/>
        </w:trPr>
        <w:tc>
          <w:tcPr>
            <w:tcW w:w="819" w:type="dxa"/>
            <w:vAlign w:val="center"/>
            <w:textDirection w:val="lrTb"/>
            <w:noWrap w:val="false"/>
          </w:tcPr>
          <w:p>
            <w:pPr>
              <w:pStyle w:val="842"/>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8</w:t>
            </w:r>
            <w:r>
              <w:rPr>
                <w:rFonts w:hint="eastAsia" w:ascii="Arial" w:hAnsi="Arial" w:cs="Arial"/>
                <w:b/>
                <w:color w:val="000000"/>
                <w:szCs w:val="21"/>
                <w:highlight w:val="none"/>
              </w:rPr>
            </w:r>
            <w:r/>
          </w:p>
        </w:tc>
        <w:tc>
          <w:tcPr>
            <w:tcW w:w="8928" w:type="dxa"/>
            <w:vAlign w:val="center"/>
            <w:textDirection w:val="lrTb"/>
            <w:noWrap w:val="false"/>
          </w:tcPr>
          <w:p>
            <w:pPr>
              <w:pStyle w:val="842"/>
              <w:spacing w:line="440" w:lineRule="exact"/>
              <w:rPr>
                <w:rFonts w:ascii="Arial" w:hAnsi="Arial" w:cs="Arial"/>
                <w:b/>
                <w:bCs/>
                <w:color w:val="000000"/>
                <w:szCs w:val="21"/>
                <w:highlight w:val="none"/>
              </w:rPr>
            </w:pPr>
            <w:r>
              <w:rPr>
                <w:rFonts w:ascii="Arial" w:hAnsi="Arial" w:cs="Arial"/>
                <w:b/>
                <w:bCs/>
                <w:color w:val="000000"/>
                <w:szCs w:val="21"/>
                <w:highlight w:val="none"/>
              </w:rPr>
              <w:t xml:space="preserve">投标报价：</w:t>
            </w:r>
            <w:r>
              <w:rPr>
                <w:rFonts w:ascii="Arial" w:hAnsi="Arial" w:cs="Arial"/>
                <w:b/>
                <w:bCs/>
                <w:color w:val="000000"/>
                <w:szCs w:val="21"/>
                <w:highlight w:val="none"/>
              </w:rPr>
            </w:r>
            <w:r/>
          </w:p>
          <w:p>
            <w:pPr>
              <w:pStyle w:val="842"/>
              <w:spacing w:line="460" w:lineRule="exact"/>
              <w:rPr>
                <w:rFonts w:hint="eastAsia"/>
                <w:highlight w:val="none"/>
              </w:rPr>
            </w:pPr>
            <w:r>
              <w:rPr>
                <w:rFonts w:hint="eastAsia" w:ascii="宋体" w:hAnsi="宋体" w:cs="宋体"/>
                <w:b/>
                <w:bCs/>
                <w:highlight w:val="none"/>
              </w:rPr>
              <w:t xml:space="preserve">所有投标响应均以人民币报价</w:t>
            </w:r>
            <w:r>
              <w:rPr>
                <w:rFonts w:hint="eastAsia" w:ascii="宋体" w:hAnsi="宋体" w:cs="宋体"/>
                <w:highlight w:val="none"/>
              </w:rPr>
              <w:t xml:space="preserve">。投标人的投标响应报价应遵守“中华人民共和国价格法”。该报价为到项目现场的全部费用，含相关税费，运输费，保险费，安装费及相关服务费等一切可能发生的费用。</w:t>
            </w:r>
            <w:r>
              <w:rPr>
                <w:rFonts w:hint="eastAsia"/>
                <w:highlight w:val="none"/>
              </w:rPr>
            </w:r>
            <w:r/>
          </w:p>
        </w:tc>
      </w:tr>
      <w:tr>
        <w:trPr>
          <w:trHeight w:val="540"/>
        </w:trPr>
        <w:tc>
          <w:tcPr>
            <w:tcW w:w="819" w:type="dxa"/>
            <w:vAlign w:val="center"/>
            <w:textDirection w:val="lrTb"/>
            <w:noWrap w:val="false"/>
          </w:tcPr>
          <w:p>
            <w:pPr>
              <w:pStyle w:val="842"/>
              <w:jc w:val="center"/>
              <w:spacing w:line="440" w:lineRule="exact"/>
              <w:rPr>
                <w:rFonts w:hint="eastAsia" w:ascii="Arial" w:hAnsi="Arial" w:cs="Arial"/>
                <w:b/>
                <w:color w:val="000000"/>
                <w:szCs w:val="21"/>
                <w:highlight w:val="none"/>
              </w:rPr>
            </w:pPr>
            <w:r>
              <w:rPr>
                <w:rFonts w:hint="eastAsia" w:ascii="Arial" w:hAnsi="Arial" w:cs="Arial"/>
                <w:b/>
                <w:color w:val="000000"/>
                <w:szCs w:val="21"/>
                <w:highlight w:val="none"/>
              </w:rPr>
              <w:t xml:space="preserve">9</w:t>
            </w:r>
            <w:r>
              <w:rPr>
                <w:rFonts w:hint="eastAsia" w:ascii="Arial" w:hAnsi="Arial" w:cs="Arial"/>
                <w:b/>
                <w:color w:val="000000"/>
                <w:szCs w:val="21"/>
                <w:highlight w:val="none"/>
              </w:rPr>
            </w:r>
            <w:r/>
          </w:p>
        </w:tc>
        <w:tc>
          <w:tcPr>
            <w:tcW w:w="8928" w:type="dxa"/>
            <w:vAlign w:val="center"/>
            <w:textDirection w:val="lrTb"/>
            <w:noWrap w:val="false"/>
          </w:tcPr>
          <w:p>
            <w:pPr>
              <w:pStyle w:val="842"/>
              <w:ind w:firstLine="0"/>
              <w:keepLines w:val="0"/>
              <w:keepNext w:val="0"/>
              <w:pageBreakBefore w:val="0"/>
              <w:spacing w:line="360" w:lineRule="auto"/>
              <w:widowControl w:val="off"/>
              <w:rPr>
                <w:rFonts w:hint="eastAsia" w:ascii="宋体" w:hAnsi="宋体" w:eastAsia="宋体"/>
                <w:color w:val="000000"/>
                <w:highlight w:val="none"/>
                <w:lang w:val="en-US" w:eastAsia="zh-CN"/>
              </w:rPr>
            </w:pPr>
            <w:r>
              <w:rPr>
                <w:rFonts w:hint="eastAsia" w:ascii="Arial" w:hAnsi="Arial" w:cs="Arial"/>
                <w:b/>
                <w:color w:val="000000"/>
                <w:highlight w:val="none"/>
              </w:rPr>
              <w:t xml:space="preserve">现场勘查要求：</w:t>
            </w:r>
            <w:r>
              <w:rPr>
                <w:rFonts w:hint="eastAsia" w:ascii="Arial" w:hAnsi="Arial" w:cs="Arial"/>
                <w:b w:val="0"/>
                <w:bCs/>
                <w:color w:val="000000"/>
                <w:highlight w:val="none"/>
                <w:lang w:val="en-US" w:eastAsia="zh-CN"/>
              </w:rPr>
              <w:t xml:space="preserve">本项目组织</w:t>
            </w:r>
            <w:r>
              <w:rPr>
                <w:rFonts w:hint="eastAsia" w:ascii="宋体" w:hAnsi="宋体"/>
                <w:color w:val="000000"/>
                <w:highlight w:val="none"/>
                <w:lang w:val="zh-CN"/>
              </w:rPr>
              <w:t xml:space="preserve">集中考察现场及答疑：</w:t>
            </w:r>
            <w:r>
              <w:rPr>
                <w:rFonts w:hint="eastAsia" w:ascii="宋体" w:hAnsi="宋体" w:eastAsia="宋体"/>
                <w:color w:val="000000"/>
                <w:highlight w:val="none"/>
                <w:lang w:val="en-US" w:eastAsia="zh-CN"/>
              </w:rPr>
            </w:r>
            <w:r/>
          </w:p>
          <w:p>
            <w:pPr>
              <w:pStyle w:val="842"/>
              <w:ind w:firstLine="0"/>
              <w:keepLines w:val="0"/>
              <w:keepNext w:val="0"/>
              <w:pageBreakBefore w:val="0"/>
              <w:spacing w:line="360" w:lineRule="auto"/>
              <w:widowControl w:val="off"/>
              <w:rPr>
                <w:rFonts w:ascii="宋体" w:hAnsi="宋体"/>
                <w:color w:val="000000"/>
                <w:highlight w:val="none"/>
                <w:lang w:val="zh-CN"/>
              </w:rPr>
            </w:pPr>
            <w:r>
              <w:rPr>
                <w:rFonts w:hint="eastAsia" w:ascii="宋体" w:hAnsi="宋体"/>
                <w:color w:val="000000"/>
                <w:highlight w:val="none"/>
                <w:lang w:val="zh-CN"/>
              </w:rPr>
              <w:t xml:space="preserve">集中勘察现场</w:t>
            </w:r>
            <w:r>
              <w:rPr>
                <w:rFonts w:hint="eastAsia" w:ascii="宋体" w:hAnsi="宋体"/>
                <w:color w:val="000000"/>
                <w:highlight w:val="none"/>
                <w:lang w:val="en-US" w:eastAsia="zh-CN"/>
              </w:rPr>
              <w:t xml:space="preserve">集合</w:t>
            </w:r>
            <w:r>
              <w:rPr>
                <w:rFonts w:hint="eastAsia" w:ascii="宋体" w:hAnsi="宋体"/>
                <w:color w:val="000000"/>
                <w:highlight w:val="none"/>
                <w:lang w:val="zh-CN"/>
              </w:rPr>
              <w:t xml:space="preserve">时间：202</w:t>
            </w:r>
            <w:r>
              <w:rPr>
                <w:rFonts w:hint="eastAsia" w:ascii="宋体" w:hAnsi="宋体"/>
                <w:color w:val="000000"/>
                <w:highlight w:val="none"/>
                <w:lang w:val="en-US" w:eastAsia="zh-CN"/>
              </w:rPr>
              <w:t xml:space="preserve">6</w:t>
            </w:r>
            <w:r>
              <w:rPr>
                <w:rFonts w:hint="eastAsia" w:ascii="宋体" w:hAnsi="宋体"/>
                <w:color w:val="000000"/>
                <w:highlight w:val="none"/>
                <w:lang w:val="zh-CN"/>
              </w:rPr>
              <w:t xml:space="preserve">年</w:t>
            </w:r>
            <w:r>
              <w:rPr>
                <w:rFonts w:hint="eastAsia" w:ascii="宋体" w:hAnsi="宋体"/>
                <w:color w:val="000000"/>
                <w:highlight w:val="none"/>
                <w:lang w:val="en-US" w:eastAsia="zh-CN"/>
              </w:rPr>
              <w:t xml:space="preserve">6月15日09:00-9：30</w:t>
            </w:r>
            <w:r>
              <w:rPr>
                <w:rFonts w:hint="eastAsia" w:ascii="宋体" w:hAnsi="宋体"/>
                <w:color w:val="000000"/>
                <w:highlight w:val="none"/>
                <w:lang w:val="zh-CN"/>
              </w:rPr>
              <w:t xml:space="preserve">（过时不候）</w:t>
            </w:r>
            <w:r>
              <w:rPr>
                <w:rFonts w:ascii="宋体" w:hAnsi="宋体"/>
                <w:color w:val="000000"/>
                <w:highlight w:val="none"/>
                <w:lang w:val="zh-CN"/>
              </w:rPr>
            </w:r>
            <w:r/>
          </w:p>
          <w:p>
            <w:pPr>
              <w:pStyle w:val="842"/>
              <w:ind w:firstLine="0"/>
              <w:keepLines w:val="0"/>
              <w:keepNext w:val="0"/>
              <w:pageBreakBefore w:val="0"/>
              <w:spacing w:line="360" w:lineRule="auto"/>
              <w:widowControl w:val="off"/>
              <w:rPr>
                <w:rFonts w:ascii="宋体" w:hAnsi="宋体"/>
                <w:color w:val="000000"/>
                <w:highlight w:val="none"/>
                <w:lang w:val="zh-CN"/>
              </w:rPr>
            </w:pPr>
            <w:r>
              <w:rPr>
                <w:rFonts w:hint="eastAsia" w:ascii="宋体" w:hAnsi="宋体"/>
                <w:color w:val="000000"/>
                <w:highlight w:val="none"/>
                <w:lang w:val="zh-CN"/>
              </w:rPr>
              <w:t xml:space="preserve">地点：南京市教育技术装备中心</w:t>
            </w:r>
            <w:r>
              <w:rPr>
                <w:rFonts w:hint="eastAsia" w:ascii="宋体" w:hAnsi="宋体"/>
                <w:color w:val="000000"/>
                <w:highlight w:val="none"/>
                <w:lang w:val="en-US" w:eastAsia="zh-CN"/>
              </w:rPr>
              <w:t xml:space="preserve">202会议室（南京市秦淮区马府街18号）</w:t>
            </w:r>
            <w:r>
              <w:rPr>
                <w:rFonts w:ascii="宋体" w:hAnsi="宋体"/>
                <w:color w:val="000000"/>
                <w:highlight w:val="none"/>
                <w:lang w:val="zh-CN"/>
              </w:rPr>
              <w:t xml:space="preserve"> </w:t>
            </w:r>
            <w:r>
              <w:rPr>
                <w:rFonts w:ascii="宋体" w:hAnsi="宋体"/>
                <w:color w:val="000000"/>
                <w:highlight w:val="none"/>
                <w:lang w:val="zh-CN"/>
              </w:rPr>
            </w:r>
            <w:r/>
          </w:p>
          <w:p>
            <w:pPr>
              <w:pStyle w:val="842"/>
              <w:ind w:firstLine="0"/>
              <w:keepLines w:val="0"/>
              <w:keepNext w:val="0"/>
              <w:pageBreakBefore w:val="0"/>
              <w:spacing w:line="360" w:lineRule="auto"/>
              <w:widowControl w:val="off"/>
              <w:rPr>
                <w:rFonts w:ascii="宋体" w:hAnsi="宋体"/>
                <w:color w:val="000000"/>
                <w:highlight w:val="none"/>
                <w:lang w:val="zh-CN"/>
              </w:rPr>
            </w:pPr>
            <w:r>
              <w:rPr>
                <w:rFonts w:hint="eastAsia" w:ascii="宋体" w:hAnsi="宋体"/>
                <w:color w:val="000000"/>
                <w:highlight w:val="none"/>
                <w:lang w:val="zh-CN"/>
              </w:rPr>
              <w:t xml:space="preserve">项目联系人：</w:t>
            </w:r>
            <w:r>
              <w:rPr>
                <w:rFonts w:hint="eastAsia" w:ascii="宋体" w:hAnsi="宋体"/>
                <w:color w:val="000000"/>
                <w:highlight w:val="none"/>
                <w:lang w:val="en-US" w:eastAsia="zh-CN"/>
              </w:rPr>
              <w:t xml:space="preserve">张老师    025-84550961</w:t>
            </w:r>
            <w:r>
              <w:rPr>
                <w:rFonts w:ascii="宋体" w:hAnsi="宋体"/>
                <w:color w:val="000000"/>
                <w:highlight w:val="none"/>
                <w:lang w:val="zh-CN"/>
              </w:rPr>
            </w:r>
            <w:r/>
          </w:p>
          <w:p>
            <w:pPr>
              <w:pStyle w:val="842"/>
              <w:ind w:firstLine="0"/>
              <w:spacing w:line="360" w:lineRule="auto"/>
              <w:rPr>
                <w:rFonts w:hint="eastAsia" w:ascii="Arial" w:hAnsi="Arial" w:cs="Arial"/>
                <w:bCs/>
                <w:color w:val="000000"/>
                <w:highlight w:val="none"/>
              </w:rPr>
            </w:pPr>
            <w:r>
              <w:rPr>
                <w:rFonts w:hint="eastAsia" w:ascii="宋体" w:hAnsi="宋体"/>
                <w:color w:val="000000"/>
                <w:highlight w:val="none"/>
                <w:lang w:val="zh-CN"/>
              </w:rPr>
              <w:t xml:space="preserve">本项目查看现场</w:t>
            </w:r>
            <w:r>
              <w:rPr>
                <w:rFonts w:hint="eastAsia" w:ascii="宋体" w:hAnsi="宋体"/>
                <w:color w:val="000000"/>
                <w:highlight w:val="none"/>
                <w:lang w:val="en-US" w:eastAsia="zh-CN"/>
              </w:rPr>
              <w:t xml:space="preserve">时</w:t>
            </w:r>
            <w:r>
              <w:rPr>
                <w:rFonts w:hint="eastAsia" w:ascii="宋体" w:hAnsi="宋体"/>
                <w:color w:val="000000"/>
                <w:highlight w:val="none"/>
                <w:lang w:val="zh-CN"/>
              </w:rPr>
              <w:t xml:space="preserve">，投标人须携带</w:t>
            </w:r>
            <w:r>
              <w:rPr>
                <w:rFonts w:hint="eastAsia" w:ascii="宋体" w:hAnsi="宋体"/>
                <w:color w:val="000000"/>
                <w:highlight w:val="none"/>
                <w:lang w:val="en-US" w:eastAsia="zh-CN"/>
              </w:rPr>
              <w:t xml:space="preserve">加盖公章的</w:t>
            </w:r>
            <w:r>
              <w:rPr>
                <w:rFonts w:hint="eastAsia" w:ascii="宋体" w:hAnsi="宋体"/>
                <w:color w:val="000000"/>
                <w:highlight w:val="none"/>
                <w:lang w:val="zh-CN"/>
              </w:rPr>
              <w:t xml:space="preserve">营业执照副本复印件、法定代表人</w:t>
            </w:r>
            <w:r>
              <w:rPr>
                <w:rFonts w:hint="eastAsia" w:ascii="宋体" w:hAnsi="宋体"/>
                <w:color w:val="000000"/>
                <w:highlight w:val="none"/>
                <w:lang w:val="en-US" w:eastAsia="zh-CN"/>
              </w:rPr>
              <w:t xml:space="preserve">授权</w:t>
            </w:r>
            <w:r>
              <w:rPr>
                <w:rFonts w:hint="eastAsia" w:ascii="宋体" w:hAnsi="宋体"/>
                <w:color w:val="000000"/>
                <w:highlight w:val="none"/>
                <w:lang w:val="zh-CN"/>
              </w:rPr>
              <w:t xml:space="preserve">书</w:t>
            </w:r>
            <w:r>
              <w:rPr>
                <w:rFonts w:hint="eastAsia" w:ascii="宋体" w:hAnsi="宋体"/>
                <w:color w:val="000000"/>
                <w:highlight w:val="none"/>
                <w:lang w:val="en-US" w:eastAsia="zh-CN"/>
              </w:rPr>
              <w:t xml:space="preserve">原件</w:t>
            </w:r>
            <w:r>
              <w:rPr>
                <w:rFonts w:hint="eastAsia" w:ascii="宋体" w:hAnsi="宋体"/>
                <w:color w:val="000000"/>
                <w:highlight w:val="none"/>
                <w:lang w:val="zh-CN"/>
              </w:rPr>
              <w:t xml:space="preserve">、被</w:t>
            </w:r>
            <w:r>
              <w:rPr>
                <w:rFonts w:hint="eastAsia" w:ascii="宋体" w:hAnsi="宋体"/>
                <w:color w:val="000000"/>
                <w:highlight w:val="none"/>
                <w:lang w:val="en-US" w:eastAsia="zh-CN"/>
              </w:rPr>
              <w:t xml:space="preserve">授权</w:t>
            </w:r>
            <w:r>
              <w:rPr>
                <w:rFonts w:hint="eastAsia" w:ascii="宋体" w:hAnsi="宋体"/>
                <w:color w:val="000000"/>
                <w:highlight w:val="none"/>
                <w:lang w:val="zh-CN"/>
              </w:rPr>
              <w:t xml:space="preserve">人身份证原件及复印件。考察现场后相应施工费用线材辅材等一律不予变更。请务必对项目现场和周围环境进行仔细认真地查勘，在随后的采购中，对现场资料和数据所作出的推论、解释和结论及由此造成的后果由供应商负责。未勘察现场供应商也可参与本项目，但因未勘察现场造成的数据错误与报价偏差，责任自负。</w:t>
            </w:r>
            <w:r>
              <w:rPr>
                <w:rFonts w:hint="eastAsia" w:ascii="Arial" w:hAnsi="Arial" w:cs="Arial"/>
                <w:bCs/>
                <w:color w:val="000000"/>
                <w:highlight w:val="none"/>
              </w:rPr>
            </w:r>
            <w:r/>
          </w:p>
        </w:tc>
      </w:tr>
      <w:tr>
        <w:trPr>
          <w:trHeight w:val="863"/>
        </w:trPr>
        <w:tc>
          <w:tcPr>
            <w:tcW w:w="819" w:type="dxa"/>
            <w:vAlign w:val="center"/>
            <w:textDirection w:val="lrTb"/>
            <w:noWrap w:val="false"/>
          </w:tcPr>
          <w:p>
            <w:pPr>
              <w:pStyle w:val="842"/>
              <w:jc w:val="center"/>
              <w:spacing w:line="440" w:lineRule="exact"/>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10</w:t>
            </w:r>
            <w:r>
              <w:rPr>
                <w:rFonts w:hint="eastAsia" w:ascii="Arial" w:hAnsi="Arial" w:cs="Arial"/>
                <w:color w:val="000000"/>
                <w:szCs w:val="21"/>
                <w:highlight w:val="none"/>
              </w:rPr>
            </w:r>
            <w:r/>
          </w:p>
        </w:tc>
        <w:tc>
          <w:tcPr>
            <w:tcW w:w="8928" w:type="dxa"/>
            <w:vAlign w:val="center"/>
            <w:textDirection w:val="lrTb"/>
            <w:noWrap w:val="false"/>
          </w:tcPr>
          <w:p>
            <w:pPr>
              <w:pStyle w:val="842"/>
              <w:spacing w:line="440" w:lineRule="exact"/>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投标报价中的投标价不得超过招标公告、招标文件规定的预算价，超过规定的预算价的投标文件，按无效投标处理。 </w:t>
            </w:r>
            <w:r>
              <w:rPr>
                <w:rFonts w:hint="eastAsia" w:ascii="Arial" w:hAnsi="Arial" w:cs="Arial"/>
                <w:color w:val="000000"/>
                <w:szCs w:val="21"/>
                <w:highlight w:val="none"/>
              </w:rPr>
            </w:r>
            <w:r/>
          </w:p>
        </w:tc>
      </w:tr>
    </w:tbl>
    <w:p>
      <w:pPr>
        <w:pStyle w:val="842"/>
        <w:ind w:firstLine="420"/>
        <w:spacing w:line="360" w:lineRule="auto"/>
        <w:shd w:val="clear" w:color="auto" w:fill="ffffff"/>
        <w:widowControl/>
        <w:rPr>
          <w:rFonts w:ascii="Arial" w:hAnsi="Arial" w:cs="Arial"/>
          <w:color w:val="000000"/>
          <w:szCs w:val="21"/>
          <w:highlight w:val="none"/>
        </w:rPr>
        <w:outlineLvl w:val="1"/>
      </w:pPr>
      <w:r>
        <w:rPr>
          <w:rFonts w:ascii="Arial" w:hAnsi="Arial" w:cs="Arial"/>
          <w:b/>
          <w:bCs/>
          <w:color w:val="000000"/>
          <w:sz w:val="24"/>
          <w:highlight w:val="none"/>
        </w:rPr>
        <w:t xml:space="preserve"> </w:t>
      </w:r>
      <w:bookmarkStart w:id="26" w:name="_Toc19726"/>
      <w:r/>
      <w:bookmarkStart w:id="27" w:name="_Toc8539"/>
      <w:r>
        <w:rPr>
          <w:rFonts w:ascii="Arial" w:hAnsi="Arial" w:cs="Arial"/>
          <w:b/>
          <w:bCs/>
          <w:color w:val="000000"/>
          <w:szCs w:val="21"/>
          <w:highlight w:val="none"/>
        </w:rPr>
        <w:t xml:space="preserve">一、总 则</w:t>
      </w:r>
      <w:bookmarkEnd w:id="26"/>
      <w:r/>
      <w:bookmarkEnd w:id="27"/>
      <w:r>
        <w:rPr>
          <w:rFonts w:ascii="Arial" w:hAnsi="Arial" w:cs="Arial"/>
          <w:color w:val="000000"/>
          <w:szCs w:val="21"/>
          <w:highlight w:val="none"/>
        </w:rPr>
      </w:r>
      <w:r/>
    </w:p>
    <w:p>
      <w:pPr>
        <w:pStyle w:val="842"/>
        <w:ind w:firstLine="420"/>
        <w:spacing w:line="360" w:lineRule="auto"/>
        <w:rPr>
          <w:rFonts w:hint="eastAsia" w:ascii="宋体" w:hAnsi="宋体" w:cs="宋体"/>
          <w:b/>
          <w:szCs w:val="21"/>
          <w:highlight w:val="none"/>
          <w:lang w:val="zh-CN"/>
        </w:rPr>
        <w:outlineLvl w:val="9"/>
      </w:pPr>
      <w:r/>
      <w:bookmarkStart w:id="28" w:name="_Toc3951"/>
      <w:r/>
      <w:bookmarkStart w:id="29" w:name="_Toc30044"/>
      <w:r/>
      <w:bookmarkStart w:id="30" w:name="_Toc24947"/>
      <w:r/>
      <w:bookmarkStart w:id="31" w:name="_Toc458694821"/>
      <w:r/>
      <w:bookmarkStart w:id="32" w:name="_Toc16938520"/>
      <w:r/>
      <w:bookmarkStart w:id="33" w:name="_Toc513029204"/>
      <w:r/>
      <w:bookmarkStart w:id="34" w:name="_Toc20823276"/>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28"/>
      <w:r/>
      <w:bookmarkEnd w:id="29"/>
      <w:r>
        <w:rPr>
          <w:rFonts w:hint="eastAsia" w:ascii="宋体" w:hAnsi="宋体" w:cs="宋体"/>
          <w:b/>
          <w:szCs w:val="21"/>
          <w:highlight w:val="none"/>
          <w:lang w:val="zh-CN"/>
        </w:rPr>
      </w:r>
      <w:r/>
    </w:p>
    <w:p>
      <w:pPr>
        <w:pStyle w:val="842"/>
        <w:ind w:firstLine="420"/>
        <w:spacing w:line="360" w:lineRule="auto"/>
        <w:rPr>
          <w:rFonts w:hint="eastAsia"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5" w:name="_Toc17176"/>
      <w:r/>
      <w:bookmarkStart w:id="36" w:name="_Toc10994"/>
      <w:r>
        <w:rPr>
          <w:rFonts w:hint="eastAsia" w:ascii="宋体" w:hAnsi="宋体" w:cs="宋体"/>
          <w:szCs w:val="21"/>
          <w:highlight w:val="none"/>
          <w:lang w:val="zh-CN"/>
        </w:rPr>
      </w:r>
      <w:r/>
    </w:p>
    <w:p>
      <w:pPr>
        <w:pStyle w:val="842"/>
        <w:ind w:firstLine="420"/>
        <w:spacing w:line="360" w:lineRule="auto"/>
        <w:rPr>
          <w:rFonts w:hint="eastAsia" w:ascii="宋体" w:hAnsi="宋体" w:cs="宋体"/>
          <w:b/>
          <w:szCs w:val="21"/>
          <w:highlight w:val="none"/>
          <w:lang w:val="zh-CN"/>
        </w:rPr>
        <w:outlineLvl w:val="9"/>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5"/>
      <w:r/>
      <w:bookmarkEnd w:id="36"/>
      <w:r>
        <w:rPr>
          <w:rFonts w:hint="eastAsia" w:ascii="宋体" w:hAnsi="宋体" w:cs="宋体"/>
          <w:b/>
          <w:szCs w:val="21"/>
          <w:highlight w:val="none"/>
          <w:lang w:val="zh-CN"/>
        </w:rPr>
      </w:r>
      <w:r/>
    </w:p>
    <w:p>
      <w:pPr>
        <w:pStyle w:val="842"/>
        <w:ind w:firstLine="420"/>
        <w:spacing w:line="360" w:lineRule="auto"/>
        <w:rPr>
          <w:rFonts w:ascii="Arial" w:hAnsi="Arial" w:cs="Arial"/>
          <w:bCs/>
          <w:color w:val="000000"/>
          <w:szCs w:val="21"/>
          <w:highlight w:val="none"/>
        </w:rPr>
      </w:pPr>
      <w:r/>
      <w:bookmarkEnd w:id="30"/>
      <w:r/>
      <w:bookmarkEnd w:id="31"/>
      <w:r/>
      <w:bookmarkEnd w:id="32"/>
      <w:r/>
      <w:bookmarkEnd w:id="33"/>
      <w:r/>
      <w:bookmarkEnd w:id="34"/>
      <w:r>
        <w:rPr>
          <w:rFonts w:ascii="Arial" w:hAnsi="Arial" w:cs="Arial"/>
          <w:color w:val="000000"/>
          <w:szCs w:val="21"/>
          <w:highlight w:val="none"/>
        </w:rPr>
        <w:t xml:space="preserve">2.1本文件</w:t>
      </w:r>
      <w:r>
        <w:rPr>
          <w:rFonts w:ascii="Arial" w:hAnsi="Arial" w:cs="Arial"/>
          <w:bCs/>
          <w:color w:val="000000"/>
          <w:szCs w:val="21"/>
          <w:highlight w:val="none"/>
        </w:rPr>
        <w:t xml:space="preserve">中</w:t>
      </w:r>
      <w:r>
        <w:rPr>
          <w:rFonts w:hint="eastAsia" w:ascii="Arial" w:hAnsi="Arial" w:cs="Arial"/>
          <w:bCs/>
          <w:color w:val="000000"/>
          <w:szCs w:val="21"/>
          <w:highlight w:val="none"/>
        </w:rPr>
        <w:t xml:space="preserve">采购代理机构</w:t>
      </w:r>
      <w:r>
        <w:rPr>
          <w:rFonts w:ascii="Arial" w:hAnsi="Arial" w:cs="Arial"/>
          <w:bCs/>
          <w:color w:val="000000"/>
          <w:szCs w:val="21"/>
          <w:highlight w:val="none"/>
        </w:rPr>
        <w:t xml:space="preserve">为 </w:t>
      </w:r>
      <w:r>
        <w:rPr>
          <w:rFonts w:hint="eastAsia" w:ascii="Arial" w:hAnsi="Arial" w:cs="Arial"/>
          <w:b/>
          <w:color w:val="000000"/>
          <w:szCs w:val="21"/>
          <w:highlight w:val="none"/>
          <w:u w:val="single"/>
        </w:rPr>
        <w:t xml:space="preserve">苏美达国际技术贸易有限公司</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采购人</w:t>
      </w:r>
      <w:r>
        <w:rPr>
          <w:rFonts w:ascii="Arial" w:hAnsi="Arial" w:cs="Arial"/>
          <w:bCs/>
          <w:color w:val="000000"/>
          <w:szCs w:val="21"/>
          <w:highlight w:val="none"/>
        </w:rPr>
        <w:t xml:space="preserve">为</w:t>
      </w:r>
      <w:r>
        <w:rPr>
          <w:rFonts w:hint="eastAsia" w:ascii="Arial" w:hAnsi="Arial" w:cs="Arial"/>
          <w:b/>
          <w:color w:val="000000"/>
          <w:szCs w:val="21"/>
          <w:highlight w:val="none"/>
          <w:u w:val="single"/>
          <w:lang w:eastAsia="zh-CN"/>
        </w:rPr>
        <w:t xml:space="preserve">南京市教育技术装备中心</w:t>
      </w:r>
      <w:r>
        <w:rPr>
          <w:rFonts w:hint="eastAsia" w:ascii="Arial" w:hAnsi="Arial" w:cs="Arial"/>
          <w:b/>
          <w:color w:val="000000"/>
          <w:szCs w:val="21"/>
          <w:highlight w:val="none"/>
          <w:u w:val="single"/>
        </w:rPr>
        <w:t xml:space="preserve"> </w:t>
      </w:r>
      <w:r>
        <w:rPr>
          <w:rFonts w:ascii="Arial" w:hAnsi="Arial" w:cs="Arial"/>
          <w:bCs/>
          <w:color w:val="000000"/>
          <w:szCs w:val="21"/>
          <w:highlight w:val="none"/>
        </w:rPr>
        <w:t xml:space="preserve">；投标人（亦称供应商）系指参加投标竞争并满足招标文件资格要求规定的法人、其他组织或者自然人。</w:t>
      </w:r>
      <w:r>
        <w:rPr>
          <w:rFonts w:ascii="Arial" w:hAnsi="Arial" w:cs="Arial"/>
          <w:bCs/>
          <w:color w:val="000000"/>
          <w:szCs w:val="21"/>
          <w:highlight w:val="none"/>
        </w:rPr>
      </w:r>
      <w:r/>
    </w:p>
    <w:p>
      <w:pPr>
        <w:pStyle w:val="842"/>
        <w:ind w:firstLine="420"/>
        <w:spacing w:line="360" w:lineRule="auto"/>
        <w:rPr>
          <w:rFonts w:ascii="Arial" w:hAnsi="Arial" w:cs="Arial"/>
          <w:bCs/>
          <w:szCs w:val="21"/>
          <w:highlight w:val="none"/>
        </w:rPr>
      </w:pPr>
      <w:r>
        <w:rPr>
          <w:rFonts w:hint="eastAsia" w:ascii="Arial" w:hAnsi="Arial" w:cs="Arial"/>
          <w:bCs/>
          <w:szCs w:val="21"/>
          <w:highlight w:val="none"/>
        </w:rPr>
        <w:t xml:space="preserve">2.2“货物和服务”指本文件中所述产品及相关</w:t>
      </w:r>
      <w:r>
        <w:rPr>
          <w:rFonts w:hint="eastAsia" w:ascii="Arial" w:hAnsi="Arial" w:cs="Arial"/>
          <w:b/>
          <w:bCs w:val="0"/>
          <w:szCs w:val="21"/>
          <w:highlight w:val="none"/>
        </w:rPr>
        <w:t xml:space="preserve">货物</w:t>
      </w:r>
      <w:r>
        <w:rPr>
          <w:rFonts w:hint="eastAsia" w:ascii="Arial" w:hAnsi="Arial" w:cs="Arial"/>
          <w:bCs/>
          <w:szCs w:val="21"/>
          <w:highlight w:val="none"/>
        </w:rPr>
        <w:t xml:space="preserve">和服务。</w:t>
      </w:r>
      <w:r>
        <w:rPr>
          <w:rFonts w:ascii="Arial" w:hAnsi="Arial" w:cs="Arial"/>
          <w:bCs/>
          <w:szCs w:val="21"/>
          <w:highlight w:val="none"/>
        </w:rPr>
      </w:r>
      <w:r/>
    </w:p>
    <w:p>
      <w:pPr>
        <w:pStyle w:val="842"/>
        <w:ind w:firstLine="420"/>
        <w:spacing w:line="360" w:lineRule="auto"/>
        <w:rPr>
          <w:rFonts w:hint="eastAsia" w:ascii="Arial" w:hAnsi="Arial" w:cs="Arial"/>
          <w:bCs/>
          <w:szCs w:val="21"/>
          <w:highlight w:val="none"/>
        </w:rPr>
      </w:pPr>
      <w:r>
        <w:rPr>
          <w:rFonts w:hint="eastAsia" w:ascii="Arial" w:hAnsi="Arial" w:cs="Arial"/>
          <w:bCs/>
          <w:szCs w:val="21"/>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szCs w:val="21"/>
          <w:highlight w:val="none"/>
        </w:rPr>
        <w:t xml:space="preserve">单位。</w:t>
      </w:r>
      <w:r>
        <w:rPr>
          <w:rFonts w:hint="eastAsia" w:ascii="Arial" w:hAnsi="Arial" w:cs="Arial"/>
          <w:bCs/>
          <w:szCs w:val="21"/>
          <w:highlight w:val="none"/>
        </w:rPr>
      </w:r>
      <w:r/>
    </w:p>
    <w:p>
      <w:pPr>
        <w:pStyle w:val="842"/>
        <w:ind w:firstLine="422"/>
        <w:spacing w:line="360" w:lineRule="auto"/>
        <w:rPr>
          <w:rFonts w:hint="eastAsia" w:ascii="宋体" w:hAnsi="宋体" w:cs="宋体"/>
          <w:b/>
          <w:szCs w:val="21"/>
          <w:highlight w:val="none"/>
          <w:lang w:val="zh-CN"/>
        </w:rPr>
        <w:outlineLvl w:val="9"/>
      </w:pPr>
      <w:r/>
      <w:bookmarkStart w:id="37" w:name="_Toc25880"/>
      <w:r/>
      <w:bookmarkStart w:id="38" w:name="_Toc18001"/>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7"/>
      <w:r/>
      <w:bookmarkEnd w:id="38"/>
      <w:r>
        <w:rPr>
          <w:rFonts w:hint="eastAsia" w:ascii="宋体" w:hAnsi="宋体" w:cs="宋体"/>
          <w:b/>
          <w:szCs w:val="21"/>
          <w:highlight w:val="none"/>
          <w:lang w:val="zh-CN"/>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3.1线上融资</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3.2中小企业、监狱和戒毒企业及残疾人福利性单位</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3.3节能产品、信息安全产品、环境标志产品</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3.4进口产品政策</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3.5绿色采购</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3.6创新产品采购</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3.7网络产品、市场准入类产品采购</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w:t>
      </w:r>
      <w:r>
        <w:rPr>
          <w:rFonts w:hint="eastAsia" w:ascii="宋体" w:hAnsi="宋体" w:cs="宋体"/>
          <w:szCs w:val="21"/>
          <w:highlight w:val="none"/>
          <w:lang w:val="en-US" w:eastAsia="zh-CN"/>
        </w:rPr>
        <w:t xml:space="preserve">已</w:t>
      </w:r>
      <w:r>
        <w:rPr>
          <w:rFonts w:hint="eastAsia" w:ascii="宋体" w:hAnsi="宋体" w:cs="宋体"/>
          <w:szCs w:val="21"/>
          <w:highlight w:val="none"/>
        </w:rPr>
        <w:t xml:space="preserve">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3.10落实政府采购领域数字人民币政策</w:t>
      </w:r>
      <w:r>
        <w:rPr>
          <w:rFonts w:hint="eastAsia" w:ascii="宋体" w:hAnsi="宋体" w:cs="宋体"/>
          <w:szCs w:val="21"/>
          <w:highlight w:val="none"/>
        </w:rPr>
      </w:r>
      <w:r/>
    </w:p>
    <w:p>
      <w:pPr>
        <w:pStyle w:val="84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rPr>
          <w:rFonts w:hint="eastAsia" w:ascii="宋体" w:hAnsi="宋体" w:cs="宋体"/>
          <w:szCs w:val="21"/>
          <w:highlight w:val="none"/>
        </w:rPr>
      </w:r>
      <w:r/>
    </w:p>
    <w:p>
      <w:pPr>
        <w:pStyle w:val="842"/>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3.11政府采购中实施本国产品标准及相关政策</w:t>
      </w:r>
      <w:r>
        <w:rPr>
          <w:rFonts w:hint="eastAsia" w:ascii="宋体" w:hAnsi="宋体" w:eastAsia="宋体" w:cs="宋体"/>
          <w:szCs w:val="21"/>
          <w:highlight w:val="none"/>
          <w:lang w:val="en-US" w:eastAsia="zh-CN"/>
        </w:rPr>
      </w:r>
      <w:r/>
    </w:p>
    <w:p>
      <w:pPr>
        <w:pStyle w:val="842"/>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3.11.1.本项目对采购本国产品给予政策支持，具体内容见招标文件“第三章 评分标准”。</w:t>
      </w:r>
      <w:r>
        <w:rPr>
          <w:rFonts w:hint="eastAsia" w:ascii="宋体" w:hAnsi="宋体" w:eastAsia="宋体" w:cs="宋体"/>
          <w:szCs w:val="21"/>
          <w:highlight w:val="none"/>
          <w:lang w:val="en-US" w:eastAsia="zh-CN"/>
        </w:rPr>
      </w:r>
      <w:r/>
    </w:p>
    <w:p>
      <w:pPr>
        <w:pStyle w:val="842"/>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Cs w:val="21"/>
          <w:highlight w:val="none"/>
          <w:lang w:val="en-US" w:eastAsia="zh-CN"/>
        </w:rPr>
      </w:r>
      <w:r/>
    </w:p>
    <w:p>
      <w:pPr>
        <w:pStyle w:val="842"/>
        <w:ind w:firstLine="48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3.11.3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szCs w:val="21"/>
          <w:highlight w:val="none"/>
          <w:lang w:val="en-US" w:eastAsia="zh-CN"/>
        </w:rPr>
      </w:r>
      <w:r/>
    </w:p>
    <w:p>
      <w:pPr>
        <w:pStyle w:val="842"/>
        <w:ind w:firstLine="482"/>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rPr>
          <w:rFonts w:hint="eastAsia" w:ascii="宋体" w:hAnsi="宋体" w:cs="宋体"/>
          <w:b/>
          <w:szCs w:val="21"/>
          <w:highlight w:val="none"/>
          <w:lang w:val="zh-CN"/>
        </w:rPr>
      </w:r>
      <w:r/>
    </w:p>
    <w:p>
      <w:pPr>
        <w:pStyle w:val="842"/>
        <w:ind w:firstLine="420"/>
        <w:spacing w:line="360" w:lineRule="auto"/>
        <w:rPr>
          <w:rFonts w:hint="eastAsia" w:ascii="宋体" w:hAnsi="宋体" w:cs="宋体"/>
          <w:b/>
          <w:szCs w:val="21"/>
          <w:highlight w:val="none"/>
          <w:lang w:val="zh-CN"/>
        </w:rPr>
        <w:outlineLvl w:val="9"/>
      </w:pPr>
      <w:r/>
      <w:bookmarkStart w:id="39" w:name="_Toc16938523"/>
      <w:r/>
      <w:bookmarkStart w:id="40" w:name="_Toc17711"/>
      <w:r/>
      <w:bookmarkStart w:id="41" w:name="_Toc20823279"/>
      <w:r/>
      <w:bookmarkStart w:id="42" w:name="_Toc513029207"/>
      <w:r/>
      <w:bookmarkStart w:id="43" w:name="_Toc4759"/>
      <w:r/>
      <w:bookmarkStart w:id="44" w:name="_Toc462564067"/>
      <w:r/>
      <w:bookmarkStart w:id="45" w:name="_Toc25651"/>
      <w:r>
        <w:rPr>
          <w:rFonts w:hint="eastAsia" w:ascii="Arial" w:hAnsi="Arial" w:cs="Arial"/>
          <w:b/>
          <w:bCs/>
          <w:color w:val="000000"/>
          <w:szCs w:val="21"/>
          <w:highlight w:val="none"/>
          <w:lang w:val="zh-CN"/>
        </w:rPr>
        <w:t xml:space="preserve">4.</w:t>
      </w:r>
      <w:r>
        <w:rPr>
          <w:rFonts w:hint="eastAsia" w:ascii="宋体" w:hAnsi="宋体" w:cs="宋体"/>
          <w:b/>
          <w:szCs w:val="21"/>
          <w:highlight w:val="none"/>
          <w:lang w:val="zh-CN"/>
        </w:rPr>
        <w:t xml:space="preserve">投标费用</w:t>
      </w:r>
      <w:bookmarkEnd w:id="39"/>
      <w:r/>
      <w:bookmarkEnd w:id="40"/>
      <w:r/>
      <w:bookmarkEnd w:id="41"/>
      <w:r/>
      <w:bookmarkEnd w:id="42"/>
      <w:r/>
      <w:bookmarkEnd w:id="43"/>
      <w:r/>
      <w:bookmarkEnd w:id="44"/>
      <w:r/>
      <w:bookmarkEnd w:id="45"/>
      <w:r>
        <w:rPr>
          <w:rFonts w:hint="eastAsia" w:ascii="宋体" w:hAnsi="宋体" w:cs="宋体"/>
          <w:b/>
          <w:szCs w:val="21"/>
          <w:highlight w:val="none"/>
          <w:lang w:val="zh-CN"/>
        </w:rPr>
      </w:r>
      <w:r/>
    </w:p>
    <w:p>
      <w:pPr>
        <w:pStyle w:val="842"/>
        <w:ind w:firstLine="420"/>
        <w:spacing w:line="360" w:lineRule="auto"/>
        <w:rPr>
          <w:rFonts w:ascii="Arial" w:hAnsi="Arial" w:cs="Arial"/>
          <w:szCs w:val="21"/>
          <w:highlight w:val="none"/>
        </w:rPr>
      </w:pPr>
      <w:r>
        <w:rPr>
          <w:rFonts w:hint="eastAsia" w:ascii="Arial" w:hAnsi="Arial" w:cs="Arial"/>
          <w:szCs w:val="21"/>
          <w:highlight w:val="none"/>
        </w:rPr>
        <w:t xml:space="preserve">4.1 供应商应自行承担所有与参加投标有关的费用，无论采购结果如何，代理机构和采购人在任何情况下均无义务和责任承担这些费用。</w:t>
      </w:r>
      <w:r>
        <w:rPr>
          <w:rFonts w:ascii="Arial" w:hAnsi="Arial" w:cs="Arial"/>
          <w:szCs w:val="21"/>
          <w:highlight w:val="none"/>
        </w:rPr>
      </w:r>
      <w:r/>
    </w:p>
    <w:p>
      <w:pPr>
        <w:pStyle w:val="842"/>
        <w:ind w:firstLine="420"/>
        <w:spacing w:line="360" w:lineRule="auto"/>
        <w:rPr>
          <w:rFonts w:hint="eastAsia" w:ascii="宋体" w:hAnsi="宋体" w:cs="宋体"/>
          <w:b/>
          <w:szCs w:val="21"/>
          <w:highlight w:val="none"/>
          <w:lang w:val="zh-CN"/>
        </w:rPr>
        <w:outlineLvl w:val="9"/>
      </w:pPr>
      <w:r/>
      <w:bookmarkStart w:id="46" w:name="_Toc25474"/>
      <w:r/>
      <w:bookmarkStart w:id="47" w:name="_Toc344"/>
      <w:r>
        <w:rPr>
          <w:rFonts w:hint="eastAsia" w:ascii="Arial" w:hAnsi="Arial" w:cs="Arial"/>
          <w:b/>
          <w:bCs/>
          <w:color w:val="000000"/>
          <w:szCs w:val="21"/>
          <w:highlight w:val="none"/>
          <w:lang w:val="zh-CN"/>
        </w:rPr>
        <w:t xml:space="preserve">5.</w:t>
      </w:r>
      <w:r>
        <w:rPr>
          <w:rFonts w:hint="eastAsia" w:ascii="宋体" w:hAnsi="宋体" w:cs="宋体"/>
          <w:b/>
          <w:szCs w:val="21"/>
          <w:highlight w:val="none"/>
          <w:lang w:val="zh-CN"/>
        </w:rPr>
        <w:t xml:space="preserve">招标文件的约束力</w:t>
      </w:r>
      <w:bookmarkEnd w:id="46"/>
      <w:r/>
      <w:bookmarkEnd w:id="47"/>
      <w:r>
        <w:rPr>
          <w:rFonts w:hint="eastAsia" w:ascii="宋体" w:hAnsi="宋体" w:cs="宋体"/>
          <w:b/>
          <w:szCs w:val="21"/>
          <w:highlight w:val="none"/>
          <w:lang w:val="zh-CN"/>
        </w:rPr>
      </w:r>
      <w:r/>
    </w:p>
    <w:p>
      <w:pPr>
        <w:pStyle w:val="842"/>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5.1 供应商一旦参加本项目采购活动，即被认为接受了本招标文件的规定和约束。</w:t>
      </w:r>
      <w:r>
        <w:rPr>
          <w:rFonts w:ascii="Arial" w:hAnsi="Arial" w:cs="Arial"/>
          <w:color w:val="000000"/>
          <w:szCs w:val="21"/>
          <w:highlight w:val="none"/>
        </w:rPr>
      </w:r>
      <w:r/>
    </w:p>
    <w:p>
      <w:pPr>
        <w:pStyle w:val="842"/>
        <w:ind w:firstLine="420"/>
        <w:spacing w:line="360" w:lineRule="auto"/>
        <w:shd w:val="clear" w:color="auto" w:fill="ffffff"/>
        <w:widowControl/>
        <w:rPr>
          <w:rFonts w:hint="eastAsia" w:ascii="Arial" w:hAnsi="Arial" w:eastAsia="宋体" w:cs="Arial"/>
          <w:b/>
          <w:bCs/>
          <w:color w:val="000000"/>
          <w:szCs w:val="21"/>
          <w:highlight w:val="none"/>
          <w:lang w:val="en-US" w:eastAsia="zh-CN"/>
        </w:rPr>
        <w:outlineLvl w:val="1"/>
      </w:pPr>
      <w:r/>
      <w:bookmarkStart w:id="48" w:name="_Toc11232"/>
      <w:r/>
      <w:bookmarkStart w:id="49" w:name="_Toc120614215"/>
      <w:r/>
      <w:bookmarkStart w:id="50" w:name="_Toc20823281"/>
      <w:r/>
      <w:bookmarkStart w:id="51" w:name="_Toc15035"/>
      <w:r/>
      <w:bookmarkStart w:id="52" w:name="_Toc16938525"/>
      <w:r/>
      <w:bookmarkStart w:id="53" w:name="_Toc513029209"/>
      <w:r>
        <w:rPr>
          <w:rFonts w:ascii="Arial" w:hAnsi="Arial" w:cs="Arial"/>
          <w:b/>
          <w:bCs/>
          <w:color w:val="000000"/>
          <w:szCs w:val="21"/>
          <w:highlight w:val="none"/>
        </w:rPr>
        <w:t xml:space="preserve">二、招标文件</w:t>
      </w:r>
      <w:bookmarkEnd w:id="48"/>
      <w:r/>
      <w:bookmarkEnd w:id="49"/>
      <w:r/>
      <w:bookmarkEnd w:id="50"/>
      <w:r/>
      <w:bookmarkEnd w:id="51"/>
      <w:r/>
      <w:bookmarkEnd w:id="52"/>
      <w:r/>
      <w:bookmarkEnd w:id="53"/>
      <w:r>
        <w:rPr>
          <w:rFonts w:hint="eastAsia" w:ascii="Arial" w:hAnsi="Arial" w:cs="Arial"/>
          <w:b/>
          <w:bCs/>
          <w:color w:val="000000"/>
          <w:szCs w:val="21"/>
          <w:highlight w:val="none"/>
          <w:lang w:val="en-US" w:eastAsia="zh-CN"/>
        </w:rPr>
        <w:t xml:space="preserve"> </w:t>
      </w:r>
      <w:r>
        <w:rPr>
          <w:rFonts w:hint="eastAsia" w:ascii="Arial" w:hAnsi="Arial" w:eastAsia="宋体" w:cs="Arial"/>
          <w:b/>
          <w:bCs/>
          <w:color w:val="000000"/>
          <w:szCs w:val="21"/>
          <w:highlight w:val="none"/>
          <w:lang w:val="en-US" w:eastAsia="zh-CN"/>
        </w:rPr>
      </w:r>
      <w:r/>
    </w:p>
    <w:p>
      <w:pPr>
        <w:pStyle w:val="842"/>
        <w:ind w:firstLine="420"/>
        <w:spacing w:line="360" w:lineRule="auto"/>
        <w:rPr>
          <w:rFonts w:hint="eastAsia" w:ascii="宋体" w:hAnsi="宋体" w:cs="宋体"/>
          <w:b/>
          <w:szCs w:val="21"/>
          <w:highlight w:val="none"/>
          <w:lang w:val="zh-CN"/>
        </w:rPr>
        <w:outlineLvl w:val="9"/>
      </w:pPr>
      <w:r/>
      <w:bookmarkStart w:id="54" w:name="_Toc16938526"/>
      <w:r/>
      <w:bookmarkStart w:id="55" w:name="_Toc2899"/>
      <w:r/>
      <w:bookmarkStart w:id="56" w:name="_Toc513029210"/>
      <w:r/>
      <w:bookmarkStart w:id="57" w:name="_Toc31631"/>
      <w:r/>
      <w:bookmarkStart w:id="58" w:name="_Toc20823282"/>
      <w:r>
        <w:rPr>
          <w:rFonts w:hint="eastAsia" w:ascii="Arial" w:hAnsi="Arial" w:cs="Arial"/>
          <w:b/>
          <w:bCs/>
          <w:color w:val="000000"/>
          <w:szCs w:val="21"/>
          <w:highlight w:val="none"/>
          <w:lang w:val="zh-CN"/>
        </w:rPr>
        <w:t xml:space="preserve">6.</w:t>
      </w:r>
      <w:r>
        <w:rPr>
          <w:rFonts w:hint="eastAsia" w:ascii="宋体" w:hAnsi="宋体" w:cs="宋体"/>
          <w:b/>
          <w:szCs w:val="21"/>
          <w:highlight w:val="none"/>
          <w:lang w:val="zh-CN"/>
        </w:rPr>
        <w:t xml:space="preserve">招标文件构成</w:t>
      </w:r>
      <w:bookmarkEnd w:id="54"/>
      <w:r/>
      <w:bookmarkEnd w:id="55"/>
      <w:r/>
      <w:bookmarkEnd w:id="56"/>
      <w:r/>
      <w:bookmarkEnd w:id="57"/>
      <w:r/>
      <w:bookmarkEnd w:id="58"/>
      <w:r>
        <w:rPr>
          <w:rFonts w:hint="eastAsia" w:ascii="宋体" w:hAnsi="宋体" w:cs="宋体"/>
          <w:b/>
          <w:szCs w:val="21"/>
          <w:highlight w:val="none"/>
          <w:lang w:val="zh-CN"/>
        </w:rPr>
      </w:r>
      <w:r/>
    </w:p>
    <w:p>
      <w:pPr>
        <w:pStyle w:val="842"/>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6.1 招标文件</w:t>
      </w:r>
      <w:r>
        <w:rPr>
          <w:rFonts w:hint="eastAsia" w:ascii="Arial" w:hAnsi="Arial" w:cs="Arial"/>
          <w:color w:val="000000"/>
          <w:szCs w:val="21"/>
          <w:highlight w:val="none"/>
        </w:rPr>
        <w:t xml:space="preserve">由</w:t>
      </w:r>
      <w:r>
        <w:rPr>
          <w:rFonts w:ascii="Arial" w:hAnsi="Arial" w:cs="Arial"/>
          <w:color w:val="000000"/>
          <w:szCs w:val="21"/>
          <w:highlight w:val="none"/>
        </w:rPr>
        <w:t xml:space="preserve">以下部分组成：</w:t>
      </w:r>
      <w:r>
        <w:rPr>
          <w:rFonts w:ascii="Arial" w:hAnsi="Arial" w:cs="Arial"/>
          <w:color w:val="000000"/>
          <w:szCs w:val="21"/>
          <w:highlight w:val="none"/>
        </w:rPr>
      </w:r>
      <w:r/>
    </w:p>
    <w:p>
      <w:pPr>
        <w:pStyle w:val="842"/>
        <w:ind w:firstLine="420"/>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第一章  </w:t>
      </w:r>
      <w:r>
        <w:rPr>
          <w:rFonts w:hint="eastAsia" w:ascii="Arial" w:hAnsi="Arial" w:cs="Arial"/>
          <w:color w:val="000000"/>
          <w:szCs w:val="21"/>
          <w:highlight w:val="none"/>
          <w:lang w:eastAsia="zh-CN"/>
        </w:rPr>
        <w:t xml:space="preserve">招标公告</w:t>
      </w:r>
      <w:r>
        <w:rPr>
          <w:rFonts w:hint="eastAsia" w:ascii="Arial" w:hAnsi="Arial" w:eastAsia="宋体" w:cs="Arial"/>
          <w:color w:val="000000"/>
          <w:szCs w:val="21"/>
          <w:highlight w:val="none"/>
          <w:lang w:eastAsia="zh-CN"/>
        </w:rPr>
      </w:r>
      <w:r/>
    </w:p>
    <w:p>
      <w:pPr>
        <w:pStyle w:val="842"/>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第二章  投标人须知</w:t>
      </w:r>
      <w:r>
        <w:rPr>
          <w:rFonts w:hint="eastAsia" w:ascii="Arial" w:hAnsi="Arial" w:cs="Arial"/>
          <w:color w:val="000000"/>
          <w:szCs w:val="21"/>
          <w:highlight w:val="none"/>
        </w:rPr>
      </w:r>
      <w:r/>
    </w:p>
    <w:p>
      <w:pPr>
        <w:pStyle w:val="842"/>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第三章  评标方法、评分标准</w:t>
      </w:r>
      <w:r>
        <w:rPr>
          <w:rFonts w:hint="eastAsia" w:ascii="Arial" w:hAnsi="Arial" w:cs="Arial"/>
          <w:color w:val="000000"/>
          <w:szCs w:val="21"/>
          <w:highlight w:val="none"/>
        </w:rPr>
      </w:r>
      <w:r/>
    </w:p>
    <w:p>
      <w:pPr>
        <w:pStyle w:val="842"/>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第四章  采购需求</w:t>
      </w:r>
      <w:r>
        <w:rPr>
          <w:rFonts w:hint="eastAsia" w:ascii="Arial" w:hAnsi="Arial" w:cs="Arial"/>
          <w:color w:val="000000"/>
          <w:szCs w:val="21"/>
          <w:highlight w:val="none"/>
        </w:rPr>
      </w:r>
      <w:r/>
    </w:p>
    <w:p>
      <w:pPr>
        <w:pStyle w:val="842"/>
        <w:ind w:firstLine="420"/>
        <w:spacing w:line="360" w:lineRule="auto"/>
        <w:rPr>
          <w:rFonts w:ascii="Arial" w:hAnsi="Arial" w:eastAsia="宋体" w:cs="Arial"/>
          <w:color w:val="000000"/>
          <w:szCs w:val="21"/>
          <w:highlight w:val="none"/>
          <w:lang w:val="en-US" w:eastAsia="zh-CN"/>
        </w:rPr>
      </w:pPr>
      <w:r>
        <w:rPr>
          <w:rFonts w:hint="eastAsia" w:ascii="Arial" w:hAnsi="Arial" w:cs="Arial"/>
          <w:color w:val="000000"/>
          <w:szCs w:val="21"/>
          <w:highlight w:val="none"/>
        </w:rPr>
        <w:t xml:space="preserve">第五章  </w:t>
      </w:r>
      <w:r>
        <w:rPr>
          <w:rFonts w:hint="eastAsia" w:ascii="Arial" w:hAnsi="Arial" w:cs="Arial"/>
          <w:color w:val="000000"/>
          <w:szCs w:val="21"/>
          <w:highlight w:val="none"/>
          <w:lang w:val="en-US" w:eastAsia="zh-CN"/>
        </w:rPr>
        <w:t xml:space="preserve">合同草案条款</w:t>
      </w:r>
      <w:r>
        <w:rPr>
          <w:rFonts w:ascii="Arial" w:hAnsi="Arial" w:eastAsia="宋体" w:cs="Arial"/>
          <w:color w:val="000000"/>
          <w:szCs w:val="21"/>
          <w:highlight w:val="none"/>
          <w:lang w:val="en-US" w:eastAsia="zh-CN"/>
        </w:rPr>
      </w:r>
      <w:r/>
    </w:p>
    <w:p>
      <w:pPr>
        <w:pStyle w:val="842"/>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第</w:t>
      </w:r>
      <w:r>
        <w:rPr>
          <w:rFonts w:hint="eastAsia" w:ascii="Arial" w:hAnsi="Arial" w:cs="Arial"/>
          <w:color w:val="000000"/>
          <w:szCs w:val="21"/>
          <w:highlight w:val="none"/>
          <w:lang w:val="en-US" w:eastAsia="zh-CN"/>
        </w:rPr>
        <w:t xml:space="preserve">六</w:t>
      </w:r>
      <w:r>
        <w:rPr>
          <w:rFonts w:hint="eastAsia" w:ascii="Arial" w:hAnsi="Arial" w:cs="Arial"/>
          <w:color w:val="000000"/>
          <w:szCs w:val="21"/>
          <w:highlight w:val="none"/>
        </w:rPr>
        <w:t xml:space="preserve">章  投标文件格式及附件</w:t>
      </w:r>
      <w:r>
        <w:rPr>
          <w:rFonts w:hint="eastAsia" w:ascii="Arial" w:hAnsi="Arial" w:cs="Arial"/>
          <w:color w:val="000000"/>
          <w:szCs w:val="21"/>
          <w:highlight w:val="none"/>
        </w:rPr>
      </w:r>
      <w:r/>
    </w:p>
    <w:p>
      <w:pPr>
        <w:pStyle w:val="842"/>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中未分包的，供应商对要求提供的</w:t>
      </w:r>
      <w:r>
        <w:rPr>
          <w:rFonts w:hint="eastAsia" w:ascii="Arial" w:hAnsi="Arial" w:cs="Arial"/>
          <w:b/>
          <w:bCs/>
          <w:color w:val="000000"/>
          <w:szCs w:val="21"/>
          <w:highlight w:val="none"/>
          <w:lang w:val="en-US" w:eastAsia="zh-CN"/>
        </w:rPr>
        <w:t xml:space="preserve">货物</w:t>
      </w:r>
      <w:r>
        <w:rPr>
          <w:rFonts w:hint="eastAsia" w:ascii="Arial" w:hAnsi="Arial" w:cs="Arial"/>
          <w:b/>
          <w:bCs/>
          <w:color w:val="000000"/>
          <w:szCs w:val="21"/>
          <w:highlight w:val="none"/>
        </w:rPr>
        <w:t xml:space="preserve">不得部分投标；</w:t>
      </w:r>
      <w:r>
        <w:rPr>
          <w:rFonts w:hint="eastAsia" w:ascii="Arial" w:hAnsi="Arial" w:cs="Arial"/>
          <w:b/>
          <w:bCs/>
          <w:color w:val="000000"/>
          <w:szCs w:val="21"/>
          <w:highlight w:val="none"/>
          <w:lang w:eastAsia="zh-CN"/>
        </w:rPr>
        <w:t xml:space="preserve">采购需求</w:t>
      </w:r>
      <w:r>
        <w:rPr>
          <w:rFonts w:hint="eastAsia" w:ascii="Arial" w:hAnsi="Arial" w:cs="Arial"/>
          <w:b/>
          <w:bCs/>
          <w:color w:val="000000"/>
          <w:szCs w:val="21"/>
          <w:highlight w:val="none"/>
        </w:rPr>
        <w:t xml:space="preserve">中已经分包的，以包为单位投标</w:t>
      </w:r>
      <w:r>
        <w:rPr>
          <w:rFonts w:hint="eastAsia" w:ascii="Arial" w:hAnsi="Arial" w:cs="Arial"/>
          <w:color w:val="000000"/>
          <w:szCs w:val="21"/>
          <w:highlight w:val="none"/>
        </w:rPr>
        <w:t xml:space="preserve">。</w:t>
      </w:r>
      <w:r>
        <w:rPr>
          <w:rFonts w:hint="eastAsia" w:ascii="Arial" w:hAnsi="Arial" w:cs="Arial"/>
          <w:color w:val="000000"/>
          <w:szCs w:val="21"/>
          <w:highlight w:val="none"/>
        </w:rPr>
      </w:r>
      <w:r/>
    </w:p>
    <w:p>
      <w:pPr>
        <w:pStyle w:val="842"/>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Arial" w:hAnsi="Arial" w:cs="Arial"/>
          <w:color w:val="000000"/>
          <w:szCs w:val="21"/>
          <w:highlight w:val="none"/>
        </w:rPr>
      </w:r>
      <w:r/>
    </w:p>
    <w:p>
      <w:pPr>
        <w:pStyle w:val="842"/>
        <w:ind w:firstLine="420"/>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rPr>
          <w:rFonts w:hint="eastAsia" w:ascii="Arial" w:hAnsi="Arial" w:cs="Arial"/>
          <w:color w:val="000000"/>
          <w:szCs w:val="21"/>
          <w:highlight w:val="none"/>
        </w:rPr>
      </w:r>
      <w:r/>
    </w:p>
    <w:p>
      <w:pPr>
        <w:pStyle w:val="1043"/>
        <w:ind w:left="0" w:firstLine="422"/>
        <w:jc w:val="both"/>
        <w:spacing w:line="360" w:lineRule="auto"/>
        <w:tabs>
          <w:tab w:val="left" w:pos="480" w:leader="none"/>
        </w:tabs>
        <w:rPr>
          <w:rFonts w:ascii="Arial" w:hAnsi="Arial" w:eastAsia="宋体" w:cs="Arial"/>
          <w:b/>
          <w:bCs/>
          <w:color w:val="000000"/>
          <w:sz w:val="21"/>
          <w:szCs w:val="21"/>
          <w:highlight w:val="none"/>
        </w:rPr>
        <w:outlineLvl w:val="9"/>
      </w:pPr>
      <w:r/>
      <w:bookmarkStart w:id="59" w:name="_Toc14415"/>
      <w:r/>
      <w:bookmarkStart w:id="60" w:name="_Toc24838"/>
      <w:r>
        <w:rPr>
          <w:rFonts w:ascii="Arial" w:hAnsi="Arial" w:eastAsia="宋体" w:cs="Arial"/>
          <w:b/>
          <w:bCs/>
          <w:color w:val="000000"/>
          <w:sz w:val="21"/>
          <w:szCs w:val="21"/>
          <w:highlight w:val="none"/>
        </w:rPr>
        <w:t xml:space="preserve">7.招标文件的澄清、补充或修改</w:t>
      </w:r>
      <w:bookmarkEnd w:id="59"/>
      <w:r/>
      <w:bookmarkEnd w:id="60"/>
      <w:r>
        <w:rPr>
          <w:rFonts w:ascii="Arial" w:hAnsi="Arial" w:eastAsia="宋体" w:cs="Arial"/>
          <w:b/>
          <w:bCs/>
          <w:color w:val="000000"/>
          <w:sz w:val="21"/>
          <w:szCs w:val="21"/>
          <w:highlight w:val="none"/>
        </w:rPr>
      </w:r>
      <w:r/>
    </w:p>
    <w:p>
      <w:pPr>
        <w:pStyle w:val="842"/>
        <w:ind w:firstLine="441"/>
        <w:spacing w:line="360" w:lineRule="auto"/>
        <w:rPr>
          <w:rFonts w:hint="eastAsia"/>
          <w:szCs w:val="21"/>
          <w:highlight w:val="none"/>
        </w:rPr>
      </w:pPr>
      <w:r/>
      <w:bookmarkStart w:id="61" w:name="_Toc29128"/>
      <w:r>
        <w:rPr>
          <w:rFonts w:ascii="Arial" w:hAnsi="Arial" w:cs="Arial"/>
          <w:color w:val="000000"/>
          <w:szCs w:val="21"/>
          <w:highlight w:val="none"/>
        </w:rPr>
        <w:t xml:space="preserve">7.1</w:t>
      </w:r>
      <w:r>
        <w:rPr>
          <w:rFonts w:hint="eastAsia"/>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rPr>
          <w:rFonts w:hint="eastAsia"/>
          <w:szCs w:val="21"/>
          <w:highlight w:val="none"/>
        </w:rPr>
      </w:r>
      <w:r/>
    </w:p>
    <w:p>
      <w:pPr>
        <w:pStyle w:val="842"/>
        <w:ind w:firstLine="420"/>
        <w:spacing w:line="360" w:lineRule="auto"/>
        <w:rPr>
          <w:rFonts w:hint="eastAsia"/>
          <w:szCs w:val="21"/>
          <w:highlight w:val="none"/>
        </w:rPr>
      </w:pPr>
      <w:r>
        <w:rPr>
          <w:rFonts w:hint="eastAsia" w:ascii="Arial" w:hAnsi="Arial" w:cs="Arial"/>
          <w:color w:val="000000"/>
          <w:szCs w:val="21"/>
          <w:highlight w:val="none"/>
        </w:rPr>
        <w:t xml:space="preserve">7.2 </w:t>
      </w:r>
      <w:r>
        <w:rPr>
          <w:rFonts w:hint="eastAsia"/>
          <w:szCs w:val="21"/>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rPr>
          <w:rFonts w:hint="eastAsia"/>
          <w:szCs w:val="21"/>
          <w:highlight w:val="none"/>
        </w:rPr>
      </w:r>
      <w:r/>
    </w:p>
    <w:p>
      <w:pPr>
        <w:pStyle w:val="842"/>
        <w:ind w:firstLine="441"/>
        <w:spacing w:line="360" w:lineRule="auto"/>
        <w:rPr>
          <w:rFonts w:hint="eastAsia"/>
          <w:szCs w:val="21"/>
          <w:highlight w:val="none"/>
        </w:rPr>
      </w:pPr>
      <w:r>
        <w:rPr>
          <w:rFonts w:hint="eastAsia" w:ascii="Arial" w:hAnsi="Arial" w:cs="Arial"/>
          <w:color w:val="000000"/>
          <w:szCs w:val="21"/>
          <w:highlight w:val="none"/>
        </w:rPr>
        <w:t xml:space="preserve">7.3 </w:t>
      </w:r>
      <w:r>
        <w:rPr>
          <w:rFonts w:hint="eastAsia"/>
          <w:szCs w:val="21"/>
          <w:highlight w:val="none"/>
        </w:rPr>
        <w:t xml:space="preserve">采购代理机构在招标文件要求提交投标文件截止时间3日前，有权决定延长投标截止时间和开标时间，并在原招标公告媒体上发布变更公告。</w:t>
      </w:r>
      <w:r>
        <w:rPr>
          <w:rFonts w:hint="eastAsia"/>
          <w:szCs w:val="21"/>
          <w:highlight w:val="none"/>
        </w:rPr>
      </w:r>
      <w:r/>
    </w:p>
    <w:p>
      <w:pPr>
        <w:pStyle w:val="842"/>
        <w:ind w:firstLine="441"/>
        <w:spacing w:line="360" w:lineRule="auto"/>
        <w:rPr>
          <w:rFonts w:hint="eastAsia"/>
          <w:szCs w:val="21"/>
          <w:highlight w:val="none"/>
        </w:rPr>
      </w:pPr>
      <w:r>
        <w:rPr>
          <w:rFonts w:hint="eastAsia" w:ascii="Arial" w:hAnsi="Arial" w:cs="Arial"/>
          <w:color w:val="000000"/>
          <w:szCs w:val="21"/>
          <w:highlight w:val="none"/>
        </w:rPr>
        <w:t xml:space="preserve">7.4</w:t>
      </w:r>
      <w:r>
        <w:rPr>
          <w:rFonts w:hint="eastAsia"/>
          <w:szCs w:val="21"/>
          <w:highlight w:val="none"/>
        </w:rPr>
        <w:t xml:space="preserve"> 为使供应商在准备投标时，有合理的时间考虑招标文件的补充或修改，采购代理机构将视情况可能推迟投标截止时间和开标时间，并将在原招标公告媒体发布更正公告。</w:t>
      </w:r>
      <w:r>
        <w:rPr>
          <w:rFonts w:hint="eastAsia"/>
          <w:szCs w:val="21"/>
          <w:highlight w:val="none"/>
        </w:rPr>
      </w:r>
      <w:r/>
    </w:p>
    <w:p>
      <w:pPr>
        <w:pStyle w:val="842"/>
        <w:ind w:firstLine="441"/>
        <w:spacing w:line="360" w:lineRule="auto"/>
        <w:rPr>
          <w:rFonts w:ascii="Arial" w:hAnsi="Arial" w:cs="Arial"/>
          <w:bCs/>
          <w:szCs w:val="21"/>
          <w:highlight w:val="none"/>
        </w:rPr>
      </w:pPr>
      <w:r>
        <w:rPr>
          <w:rFonts w:hint="eastAsia" w:ascii="Arial" w:hAnsi="Arial" w:cs="Arial"/>
          <w:color w:val="000000"/>
          <w:szCs w:val="21"/>
          <w:highlight w:val="none"/>
        </w:rPr>
        <w:t xml:space="preserve">7.5 </w:t>
      </w:r>
      <w:r>
        <w:rPr>
          <w:rFonts w:hint="eastAsia"/>
          <w:szCs w:val="21"/>
          <w:highlight w:val="none"/>
        </w:rPr>
        <w:t xml:space="preserve">采购代理机构发出的所有补充、修改和变更文件均作为招标文件的组成部分，与招标文件具有同等法律效力，并对投标人具有约束力。 </w:t>
      </w:r>
      <w:r>
        <w:rPr>
          <w:rFonts w:ascii="Arial" w:hAnsi="Arial" w:cs="Arial"/>
          <w:bCs/>
          <w:szCs w:val="21"/>
          <w:highlight w:val="none"/>
        </w:rPr>
      </w:r>
      <w:r/>
    </w:p>
    <w:p>
      <w:pPr>
        <w:pStyle w:val="842"/>
        <w:ind w:firstLine="420"/>
        <w:spacing w:line="360" w:lineRule="auto"/>
        <w:shd w:val="clear" w:color="auto" w:fill="ffffff"/>
        <w:widowControl/>
        <w:rPr>
          <w:rFonts w:ascii="Arial" w:hAnsi="Arial" w:cs="Arial"/>
          <w:b/>
          <w:bCs/>
          <w:szCs w:val="21"/>
          <w:highlight w:val="none"/>
        </w:rPr>
        <w:outlineLvl w:val="1"/>
      </w:pPr>
      <w:r/>
      <w:bookmarkStart w:id="62" w:name="_Toc27318"/>
      <w:r>
        <w:rPr>
          <w:rFonts w:ascii="Arial" w:hAnsi="Arial" w:cs="Arial"/>
          <w:b/>
          <w:bCs/>
          <w:szCs w:val="21"/>
          <w:highlight w:val="none"/>
        </w:rPr>
        <w:t xml:space="preserve">三、投标文件的编制</w:t>
      </w:r>
      <w:bookmarkEnd w:id="61"/>
      <w:r/>
      <w:bookmarkEnd w:id="62"/>
      <w:r>
        <w:rPr>
          <w:rFonts w:ascii="Arial" w:hAnsi="Arial" w:cs="Arial"/>
          <w:b/>
          <w:bCs/>
          <w:szCs w:val="21"/>
          <w:highlight w:val="none"/>
        </w:rPr>
      </w:r>
      <w:r/>
    </w:p>
    <w:p>
      <w:pPr>
        <w:pStyle w:val="1043"/>
        <w:ind w:left="0" w:firstLine="422"/>
        <w:jc w:val="both"/>
        <w:spacing w:line="360" w:lineRule="auto"/>
        <w:tabs>
          <w:tab w:val="left" w:pos="480" w:leader="none"/>
        </w:tabs>
        <w:rPr>
          <w:rFonts w:ascii="Arial" w:hAnsi="Arial" w:eastAsia="宋体" w:cs="Arial"/>
          <w:b/>
          <w:bCs/>
          <w:sz w:val="21"/>
          <w:szCs w:val="21"/>
          <w:highlight w:val="none"/>
        </w:rPr>
        <w:outlineLvl w:val="9"/>
      </w:pPr>
      <w:r/>
      <w:bookmarkStart w:id="63" w:name="_Toc28127"/>
      <w:r/>
      <w:bookmarkStart w:id="64" w:name="_Toc14460"/>
      <w:r>
        <w:rPr>
          <w:rFonts w:ascii="Arial" w:hAnsi="Arial" w:eastAsia="宋体" w:cs="Arial"/>
          <w:b/>
          <w:bCs/>
          <w:sz w:val="21"/>
          <w:szCs w:val="21"/>
          <w:highlight w:val="none"/>
        </w:rPr>
        <w:t xml:space="preserve">8.</w:t>
      </w:r>
      <w:bookmarkEnd w:id="63"/>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4"/>
      <w:r>
        <w:rPr>
          <w:rFonts w:ascii="Arial" w:hAnsi="Arial" w:eastAsia="宋体" w:cs="Arial"/>
          <w:b/>
          <w:bCs/>
          <w:sz w:val="21"/>
          <w:szCs w:val="21"/>
          <w:highlight w:val="none"/>
        </w:rPr>
      </w:r>
      <w:r/>
    </w:p>
    <w:p>
      <w:pPr>
        <w:pStyle w:val="842"/>
        <w:ind w:firstLine="42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rPr>
          <w:rFonts w:ascii="Arial" w:hAnsi="Arial" w:cs="Arial"/>
          <w:color w:val="000000"/>
          <w:szCs w:val="21"/>
          <w:highlight w:val="none"/>
        </w:rPr>
      </w:r>
      <w:r/>
    </w:p>
    <w:p>
      <w:pPr>
        <w:pStyle w:val="842"/>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rPr>
          <w:rFonts w:ascii="Arial" w:hAnsi="Arial" w:cs="Arial"/>
          <w:color w:val="000000"/>
          <w:szCs w:val="21"/>
          <w:highlight w:val="none"/>
        </w:rPr>
      </w:r>
      <w:r/>
    </w:p>
    <w:p>
      <w:pPr>
        <w:pStyle w:val="842"/>
        <w:ind w:firstLine="420"/>
        <w:spacing w:line="360" w:lineRule="auto"/>
        <w:shd w:val="clear" w:color="auto" w:fill="ffffff"/>
        <w:widowControl/>
        <w:rPr>
          <w:rFonts w:ascii="Arial" w:hAnsi="Arial" w:cs="Arial"/>
          <w:szCs w:val="21"/>
          <w:highlight w:val="none"/>
        </w:rPr>
      </w:pPr>
      <w:r/>
      <w:bookmarkStart w:id="65"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rPr>
          <w:rFonts w:ascii="Arial" w:hAnsi="Arial" w:cs="Arial"/>
          <w:szCs w:val="21"/>
          <w:highlight w:val="none"/>
        </w:rPr>
      </w:r>
      <w:r/>
    </w:p>
    <w:p>
      <w:pPr>
        <w:pStyle w:val="842"/>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rPr>
          <w:rFonts w:ascii="Arial" w:hAnsi="Arial" w:cs="Arial"/>
          <w:szCs w:val="21"/>
          <w:highlight w:val="none"/>
        </w:rPr>
      </w:r>
      <w:r/>
    </w:p>
    <w:p>
      <w:pPr>
        <w:pStyle w:val="1043"/>
        <w:ind w:left="0" w:firstLine="422"/>
        <w:jc w:val="both"/>
        <w:spacing w:line="360" w:lineRule="auto"/>
        <w:tabs>
          <w:tab w:val="left" w:pos="480" w:leader="none"/>
        </w:tabs>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8.5 所有投标响应报价具体详见投标人须知前附表。</w:t>
      </w:r>
      <w:r>
        <w:rPr>
          <w:rFonts w:hint="eastAsia" w:ascii="Arial" w:hAnsi="Arial" w:eastAsia="宋体" w:cs="Arial"/>
          <w:sz w:val="21"/>
          <w:szCs w:val="21"/>
          <w:highlight w:val="none"/>
        </w:rPr>
      </w:r>
      <w:r/>
    </w:p>
    <w:p>
      <w:pPr>
        <w:pStyle w:val="1043"/>
        <w:ind w:left="0" w:firstLine="422"/>
        <w:jc w:val="both"/>
        <w:spacing w:line="360" w:lineRule="auto"/>
        <w:tabs>
          <w:tab w:val="left" w:pos="480" w:leader="none"/>
        </w:tabs>
        <w:rPr>
          <w:rFonts w:hint="eastAsia" w:ascii="Arial" w:hAnsi="Arial" w:eastAsia="宋体" w:cs="Arial"/>
          <w:sz w:val="21"/>
          <w:szCs w:val="21"/>
          <w:highlight w:val="none"/>
          <w:lang w:val="zh-CN"/>
        </w:rPr>
        <w:outlineLvl w:val="9"/>
      </w:pPr>
      <w:r/>
      <w:bookmarkStart w:id="66" w:name="_Toc11547"/>
      <w:r/>
      <w:bookmarkStart w:id="67" w:name="_Toc30894"/>
      <w:r>
        <w:rPr>
          <w:rFonts w:hint="eastAsia" w:ascii="Arial" w:hAnsi="Arial" w:eastAsia="宋体" w:cs="Arial"/>
          <w:sz w:val="21"/>
          <w:szCs w:val="21"/>
          <w:highlight w:val="none"/>
        </w:rPr>
        <w:t xml:space="preserve">9.</w:t>
      </w:r>
      <w:r>
        <w:rPr>
          <w:rFonts w:hint="eastAsia" w:ascii="Arial" w:hAnsi="Arial" w:eastAsia="宋体" w:cs="Arial"/>
          <w:sz w:val="21"/>
          <w:szCs w:val="21"/>
          <w:highlight w:val="none"/>
          <w:lang w:val="zh-CN"/>
        </w:rPr>
        <w:t xml:space="preserve">联合体（根据采购项目是否接受联合体投标而定）</w:t>
      </w:r>
      <w:bookmarkEnd w:id="66"/>
      <w:r/>
      <w:bookmarkEnd w:id="67"/>
      <w:r>
        <w:rPr>
          <w:rFonts w:hint="eastAsia" w:ascii="Arial" w:hAnsi="Arial" w:eastAsia="宋体" w:cs="Arial"/>
          <w:sz w:val="21"/>
          <w:szCs w:val="21"/>
          <w:highlight w:val="none"/>
          <w:lang w:val="zh-CN"/>
        </w:rPr>
      </w:r>
      <w:r/>
    </w:p>
    <w:p>
      <w:pPr>
        <w:pStyle w:val="1043"/>
        <w:ind w:left="0" w:firstLine="422"/>
        <w:jc w:val="both"/>
        <w:spacing w:line="360" w:lineRule="auto"/>
        <w:tabs>
          <w:tab w:val="left" w:pos="480" w:leader="none"/>
        </w:tabs>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9.1两个以上的自然人、法人或者其他组织可以组成一个联合体，以一个供应商的身份共同参加政府采购。</w:t>
      </w:r>
      <w:r>
        <w:rPr>
          <w:rFonts w:hint="eastAsia" w:ascii="Arial" w:hAnsi="Arial" w:eastAsia="宋体" w:cs="Arial"/>
          <w:sz w:val="21"/>
          <w:szCs w:val="21"/>
          <w:highlight w:val="none"/>
        </w:rPr>
      </w:r>
      <w:r/>
    </w:p>
    <w:p>
      <w:pPr>
        <w:pStyle w:val="1043"/>
        <w:ind w:left="0" w:firstLine="422"/>
        <w:jc w:val="both"/>
        <w:spacing w:line="360" w:lineRule="auto"/>
        <w:tabs>
          <w:tab w:val="left" w:pos="480" w:leader="none"/>
        </w:tabs>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9.2鼓励大中型企业和其他自然人、法人或者其他组织与小型、微型企业组成联合体共同参加非专门面向中小企业的政府采购活动。</w:t>
      </w:r>
      <w:r>
        <w:rPr>
          <w:rFonts w:hint="eastAsia" w:ascii="Arial" w:hAnsi="Arial" w:eastAsia="宋体" w:cs="Arial"/>
          <w:sz w:val="21"/>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w:t>
      </w:r>
      <w:r>
        <w:rPr>
          <w:rFonts w:hint="eastAsia" w:ascii="Arial" w:hAnsi="Arial" w:cs="Arial"/>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Arial" w:hAnsi="Arial" w:cs="Arial"/>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9.4 联合体各方之间应当签订联合体协议，明确约定联合体各方承担的工作和相应的责任，并将联合体协议连同响应文件一并提交。</w:t>
      </w:r>
      <w:r>
        <w:rPr>
          <w:rFonts w:hint="eastAsia" w:ascii="Arial" w:hAnsi="Arial" w:cs="Arial"/>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9.5 以联合体形式参加政府采购活动的，联合体各方不得再单独参加或者与其他供应商另外组成联合体参加同一合同项下的政府采购活动。</w:t>
      </w:r>
      <w:r>
        <w:rPr>
          <w:rFonts w:hint="eastAsia" w:ascii="Arial" w:hAnsi="Arial" w:cs="Arial"/>
          <w:szCs w:val="21"/>
          <w:highlight w:val="none"/>
        </w:rPr>
      </w:r>
      <w:r/>
    </w:p>
    <w:p>
      <w:pPr>
        <w:pStyle w:val="842"/>
        <w:ind w:firstLine="420"/>
        <w:spacing w:line="360" w:lineRule="auto"/>
        <w:shd w:val="clear" w:color="auto" w:fill="ffffff"/>
        <w:widowControl/>
        <w:rPr>
          <w:rFonts w:hint="eastAsia" w:ascii="Arial" w:hAnsi="Arial" w:cs="Arial"/>
          <w:b/>
          <w:bCs/>
          <w:szCs w:val="21"/>
          <w:highlight w:val="none"/>
        </w:rPr>
      </w:pPr>
      <w:r/>
      <w:bookmarkEnd w:id="65"/>
      <w:r/>
      <w:bookmarkStart w:id="68" w:name="_Toc22790"/>
      <w:r/>
      <w:bookmarkStart w:id="69" w:name="_Toc6681"/>
      <w:r>
        <w:rPr>
          <w:rFonts w:hint="eastAsia" w:ascii="Arial" w:hAnsi="Arial" w:cs="Arial"/>
          <w:b/>
          <w:bCs/>
          <w:szCs w:val="21"/>
          <w:highlight w:val="none"/>
        </w:rPr>
        <w:t xml:space="preserve">10.投标文件的</w:t>
      </w:r>
      <w:bookmarkEnd w:id="68"/>
      <w:r>
        <w:rPr>
          <w:rFonts w:hint="eastAsia" w:ascii="Arial" w:hAnsi="Arial" w:cs="Arial"/>
          <w:b/>
          <w:bCs/>
          <w:szCs w:val="21"/>
          <w:highlight w:val="none"/>
        </w:rPr>
        <w:t xml:space="preserve">组成</w:t>
      </w:r>
      <w:bookmarkEnd w:id="69"/>
      <w:r>
        <w:rPr>
          <w:rFonts w:hint="eastAsia" w:ascii="Arial" w:hAnsi="Arial" w:cs="Arial"/>
          <w:b/>
          <w:bCs/>
          <w:szCs w:val="21"/>
          <w:highlight w:val="none"/>
        </w:rPr>
        <w:t xml:space="preserve">（相应内容上传至投标客户端，并签电子公章）：</w:t>
      </w:r>
      <w:r>
        <w:rPr>
          <w:rFonts w:hint="eastAsia" w:ascii="Arial" w:hAnsi="Arial" w:cs="Arial"/>
          <w:b/>
          <w:bCs/>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bookmarkStart w:id="70" w:name="_Hlk525992732"/>
      <w:r/>
      <w:bookmarkStart w:id="71" w:name="_Hlk6917373"/>
      <w:r/>
      <w:bookmarkStart w:id="72" w:name="_Hlk529436144"/>
      <w:r>
        <w:rPr>
          <w:rFonts w:hint="eastAsia" w:ascii="Arial" w:hAnsi="Arial" w:cs="Arial"/>
          <w:szCs w:val="21"/>
          <w:highlight w:val="none"/>
        </w:rPr>
        <w:t xml:space="preserve">10.1.投标函（格式见附件）；</w:t>
      </w:r>
      <w:r>
        <w:rPr>
          <w:rFonts w:hint="eastAsia" w:ascii="Arial" w:hAnsi="Arial" w:cs="Arial"/>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10.2.资格证明文件：</w:t>
      </w:r>
      <w:r>
        <w:rPr>
          <w:rFonts w:hint="eastAsia" w:ascii="Arial" w:hAnsi="Arial" w:cs="Arial"/>
          <w:szCs w:val="21"/>
          <w:highlight w:val="none"/>
        </w:rPr>
      </w:r>
      <w:r/>
    </w:p>
    <w:p>
      <w:pPr>
        <w:pStyle w:val="842"/>
        <w:ind w:firstLine="420"/>
        <w:spacing w:line="360" w:lineRule="auto"/>
        <w:shd w:val="clear" w:color="auto" w:fill="ffffff"/>
        <w:widowControl/>
        <w:rPr>
          <w:rFonts w:hint="eastAsia" w:ascii="Arial" w:hAnsi="Arial" w:eastAsia="宋体" w:cs="Arial"/>
          <w:szCs w:val="21"/>
          <w:highlight w:val="none"/>
          <w:lang w:eastAsia="zh-CN"/>
        </w:rPr>
      </w:pPr>
      <w:r>
        <w:rPr>
          <w:rFonts w:hint="eastAsia" w:ascii="Arial" w:hAnsi="Arial" w:cs="Arial"/>
          <w:szCs w:val="21"/>
          <w:highlight w:val="none"/>
        </w:rPr>
        <w:t xml:space="preserve">（1）</w:t>
      </w:r>
      <w:r>
        <w:rPr>
          <w:rFonts w:hint="eastAsia" w:ascii="Arial" w:hAnsi="Arial" w:cs="Arial"/>
          <w:szCs w:val="21"/>
          <w:highlight w:val="none"/>
          <w:lang w:val="en-US" w:eastAsia="zh-CN"/>
        </w:rPr>
        <w:t xml:space="preserve">投标人</w:t>
      </w:r>
      <w:r>
        <w:rPr>
          <w:rFonts w:hint="eastAsia" w:ascii="宋体" w:hAnsi="宋体"/>
          <w:highlight w:val="none"/>
        </w:rPr>
        <w:t xml:space="preserve">《南京市政府采购供应商信用记录表暨信用承诺书》</w:t>
      </w:r>
      <w:r>
        <w:rPr>
          <w:rFonts w:hint="eastAsia" w:ascii="Arial" w:hAnsi="Arial" w:cs="Arial"/>
          <w:szCs w:val="21"/>
          <w:highlight w:val="none"/>
        </w:rPr>
        <w:t xml:space="preserve">扫描件</w:t>
      </w:r>
      <w:r>
        <w:rPr>
          <w:rFonts w:hint="eastAsia" w:ascii="宋体" w:hAnsi="宋体"/>
          <w:highlight w:val="none"/>
          <w:lang w:eastAsia="zh-CN"/>
        </w:rPr>
        <w:t xml:space="preserve">；</w:t>
      </w:r>
      <w:r>
        <w:rPr>
          <w:rFonts w:hint="eastAsia" w:ascii="Arial" w:hAnsi="Arial" w:eastAsia="宋体" w:cs="Arial"/>
          <w:szCs w:val="21"/>
          <w:highlight w:val="none"/>
          <w:lang w:eastAsia="zh-CN"/>
        </w:rPr>
      </w:r>
      <w:r/>
    </w:p>
    <w:p>
      <w:pPr>
        <w:pStyle w:val="842"/>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（2）</w:t>
      </w:r>
      <w:r>
        <w:rPr>
          <w:rFonts w:hint="eastAsia" w:ascii="Arial" w:hAnsi="Arial" w:cs="Arial"/>
          <w:szCs w:val="21"/>
          <w:highlight w:val="none"/>
          <w:lang w:val="en-US" w:eastAsia="zh-CN"/>
        </w:rPr>
        <w:t xml:space="preserve">投标人</w:t>
      </w:r>
      <w:r>
        <w:rPr>
          <w:rFonts w:hint="eastAsia" w:ascii="宋体" w:hAnsi="宋体"/>
          <w:highlight w:val="none"/>
          <w:lang w:val="en-US" w:eastAsia="zh-CN"/>
        </w:rPr>
        <w:t xml:space="preserve">有效经营期内的营业执照</w:t>
      </w:r>
      <w:r>
        <w:rPr>
          <w:rFonts w:hint="eastAsia" w:ascii="Arial" w:hAnsi="Arial" w:cs="Arial"/>
          <w:szCs w:val="21"/>
          <w:highlight w:val="none"/>
        </w:rPr>
        <w:t xml:space="preserve">扫描件；</w:t>
      </w:r>
      <w:r>
        <w:rPr>
          <w:rFonts w:hint="eastAsia" w:ascii="Arial" w:hAnsi="Arial" w:cs="Arial"/>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（3）投标人法定代表人授权委托书扫描件（法定代表人亲自参与投标的除外，格式见附件）；</w:t>
      </w:r>
      <w:r>
        <w:rPr>
          <w:rFonts w:hint="eastAsia" w:ascii="Arial" w:hAnsi="Arial" w:cs="Arial"/>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（4）投标人法定代表人身份证（正、反面）扫描件；</w:t>
      </w:r>
      <w:r>
        <w:rPr>
          <w:rFonts w:hint="eastAsia" w:ascii="Arial" w:hAnsi="Arial" w:cs="Arial"/>
          <w:szCs w:val="21"/>
          <w:highlight w:val="none"/>
        </w:rPr>
      </w:r>
      <w:r/>
    </w:p>
    <w:p>
      <w:pPr>
        <w:pStyle w:val="842"/>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（5）投标人法定代表人授权代表身份证（正、反面）扫描件（法定代表人亲自参加投标的除外）；</w:t>
      </w:r>
      <w:bookmarkStart w:id="73" w:name="_Hlk39128912"/>
      <w:r>
        <w:rPr>
          <w:rFonts w:ascii="Arial" w:hAnsi="Arial" w:cs="Arial"/>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bookmarkEnd w:id="73"/>
      <w:r>
        <w:rPr>
          <w:rFonts w:hint="eastAsia" w:ascii="Arial" w:hAnsi="Arial" w:cs="Arial"/>
          <w:szCs w:val="21"/>
          <w:highlight w:val="none"/>
        </w:rPr>
        <w:t xml:space="preserve">10.3.开标一览表（格式见附件）</w:t>
      </w:r>
      <w:r>
        <w:rPr>
          <w:rFonts w:hint="eastAsia" w:ascii="Arial" w:hAnsi="Arial" w:cs="Arial"/>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10.4.</w:t>
      </w:r>
      <w:r>
        <w:rPr>
          <w:rFonts w:hint="eastAsia" w:ascii="Arial" w:hAnsi="Arial" w:cs="Arial"/>
          <w:szCs w:val="21"/>
          <w:highlight w:val="none"/>
          <w:lang w:eastAsia="zh-CN"/>
        </w:rPr>
        <w:t xml:space="preserve">分项报价表</w:t>
      </w:r>
      <w:r>
        <w:rPr>
          <w:rFonts w:hint="eastAsia" w:ascii="Arial" w:hAnsi="Arial" w:cs="Arial"/>
          <w:szCs w:val="21"/>
          <w:highlight w:val="none"/>
        </w:rPr>
        <w:t xml:space="preserve">（格式见附件）</w:t>
      </w:r>
      <w:r>
        <w:rPr>
          <w:rFonts w:hint="eastAsia" w:ascii="Arial" w:hAnsi="Arial" w:cs="Arial"/>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bookmarkEnd w:id="70"/>
      <w:r/>
      <w:bookmarkEnd w:id="71"/>
      <w:r/>
      <w:bookmarkEnd w:id="72"/>
      <w:r>
        <w:rPr>
          <w:rFonts w:hint="eastAsia" w:ascii="Arial" w:hAnsi="Arial" w:cs="Arial"/>
          <w:szCs w:val="21"/>
          <w:highlight w:val="none"/>
        </w:rPr>
        <w:t xml:space="preserve">10.</w:t>
      </w:r>
      <w:r>
        <w:rPr>
          <w:rFonts w:hint="eastAsia" w:ascii="Arial" w:hAnsi="Arial" w:cs="Arial"/>
          <w:szCs w:val="21"/>
          <w:highlight w:val="none"/>
          <w:lang w:val="en-US" w:eastAsia="zh-CN"/>
        </w:rPr>
        <w:t xml:space="preserve">5</w:t>
      </w:r>
      <w:r>
        <w:rPr>
          <w:rFonts w:hint="eastAsia" w:ascii="Arial" w:hAnsi="Arial" w:cs="Arial"/>
          <w:szCs w:val="21"/>
          <w:highlight w:val="none"/>
        </w:rPr>
        <w:t xml:space="preserve">.商务响应偏离表（格式见附件）</w:t>
      </w:r>
      <w:r>
        <w:rPr>
          <w:rFonts w:hint="eastAsia" w:ascii="Arial" w:hAnsi="Arial" w:cs="Arial"/>
          <w:szCs w:val="21"/>
          <w:highlight w:val="none"/>
        </w:rPr>
      </w:r>
      <w:r/>
    </w:p>
    <w:p>
      <w:pPr>
        <w:pStyle w:val="842"/>
        <w:ind w:firstLine="420"/>
        <w:spacing w:line="360" w:lineRule="auto"/>
        <w:shd w:val="clear" w:color="auto" w:fill="ffffff"/>
        <w:widowControl/>
        <w:rPr>
          <w:rFonts w:hint="eastAsia" w:ascii="Arial" w:hAnsi="Arial" w:cs="Arial"/>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6</w:t>
      </w:r>
      <w:r>
        <w:rPr>
          <w:rFonts w:hint="eastAsia" w:ascii="Arial" w:hAnsi="Arial" w:cs="Arial"/>
          <w:szCs w:val="21"/>
          <w:highlight w:val="none"/>
        </w:rPr>
        <w:t xml:space="preserve">.技术响应偏离表（格式见附件）</w:t>
      </w:r>
      <w:r>
        <w:rPr>
          <w:rFonts w:hint="eastAsia" w:ascii="Arial" w:hAnsi="Arial" w:cs="Arial"/>
          <w:szCs w:val="21"/>
          <w:highlight w:val="none"/>
        </w:rPr>
      </w:r>
      <w:r/>
    </w:p>
    <w:p>
      <w:pPr>
        <w:pStyle w:val="842"/>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7</w:t>
      </w:r>
      <w:r>
        <w:rPr>
          <w:rFonts w:hint="eastAsia" w:ascii="Arial" w:hAnsi="Arial" w:cs="Arial"/>
          <w:szCs w:val="21"/>
          <w:highlight w:val="none"/>
        </w:rPr>
        <w:t xml:space="preserve">.</w:t>
      </w:r>
      <w:r>
        <w:rPr>
          <w:rFonts w:hint="eastAsia" w:ascii="宋体" w:hAnsi="宋体" w:cs="宋体"/>
          <w:szCs w:val="21"/>
          <w:highlight w:val="none"/>
          <w:lang w:val="zh-CN"/>
        </w:rPr>
        <w:t xml:space="preserve">设备主要性能的</w:t>
      </w:r>
      <w:r>
        <w:rPr>
          <w:rFonts w:hint="eastAsia" w:ascii="宋体" w:hAnsi="宋体" w:cs="宋体"/>
          <w:szCs w:val="21"/>
          <w:highlight w:val="none"/>
        </w:rPr>
        <w:t xml:space="preserve">技术</w:t>
      </w:r>
      <w:r>
        <w:rPr>
          <w:rFonts w:hint="eastAsia" w:ascii="宋体" w:hAnsi="宋体" w:cs="宋体"/>
          <w:szCs w:val="21"/>
          <w:highlight w:val="none"/>
          <w:lang w:val="zh-CN"/>
        </w:rPr>
        <w:t xml:space="preserve">资料</w:t>
      </w:r>
      <w:r>
        <w:rPr>
          <w:rFonts w:hint="eastAsia" w:ascii="宋体" w:hAnsi="宋体" w:cs="宋体"/>
          <w:szCs w:val="21"/>
          <w:highlight w:val="none"/>
        </w:rPr>
        <w:t xml:space="preserve">以及</w:t>
      </w:r>
      <w:r>
        <w:rPr>
          <w:rFonts w:hint="eastAsia" w:ascii="宋体" w:hAnsi="宋体" w:cs="宋体"/>
          <w:szCs w:val="21"/>
          <w:highlight w:val="none"/>
          <w:lang w:val="zh-CN"/>
        </w:rPr>
        <w:t xml:space="preserve">供应商认为需要提供的其他技术资料</w:t>
      </w:r>
      <w:r>
        <w:rPr>
          <w:rFonts w:hint="eastAsia" w:ascii="宋体" w:hAnsi="宋体" w:cs="宋体"/>
          <w:szCs w:val="21"/>
          <w:highlight w:val="none"/>
        </w:rPr>
      </w:r>
      <w:r/>
    </w:p>
    <w:p>
      <w:pPr>
        <w:pStyle w:val="842"/>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8</w:t>
      </w:r>
      <w:r>
        <w:rPr>
          <w:rFonts w:hint="eastAsia" w:ascii="Arial" w:hAnsi="Arial" w:cs="Arial"/>
          <w:szCs w:val="21"/>
          <w:highlight w:val="none"/>
        </w:rPr>
        <w:t xml:space="preserve">.</w:t>
      </w:r>
      <w:r>
        <w:rPr>
          <w:rFonts w:hint="eastAsia" w:ascii="宋体" w:hAnsi="宋体" w:cs="宋体"/>
          <w:szCs w:val="21"/>
          <w:highlight w:val="none"/>
        </w:rPr>
        <w:t xml:space="preserve">售后服务实施方案等</w:t>
      </w:r>
      <w:r>
        <w:rPr>
          <w:rFonts w:hint="eastAsia" w:ascii="宋体" w:hAnsi="宋体" w:cs="宋体"/>
          <w:szCs w:val="21"/>
          <w:highlight w:val="none"/>
        </w:rPr>
      </w:r>
      <w:r/>
    </w:p>
    <w:p>
      <w:pPr>
        <w:pStyle w:val="842"/>
        <w:ind w:firstLine="420"/>
        <w:spacing w:line="360" w:lineRule="auto"/>
        <w:rPr>
          <w:rFonts w:hint="eastAsia" w:ascii="宋体" w:hAnsi="宋体" w:cs="宋体"/>
          <w:szCs w:val="21"/>
          <w:highlight w:val="none"/>
        </w:rPr>
      </w:pPr>
      <w:r>
        <w:rPr>
          <w:rFonts w:hint="eastAsia" w:ascii="Arial" w:hAnsi="Arial" w:cs="Arial"/>
          <w:szCs w:val="21"/>
          <w:highlight w:val="none"/>
        </w:rPr>
        <w:t xml:space="preserve">10.</w:t>
      </w:r>
      <w:r>
        <w:rPr>
          <w:rFonts w:hint="eastAsia" w:ascii="Arial" w:hAnsi="Arial" w:cs="Arial"/>
          <w:szCs w:val="21"/>
          <w:highlight w:val="none"/>
          <w:lang w:val="en-US" w:eastAsia="zh-CN"/>
        </w:rPr>
        <w:t xml:space="preserve">9</w:t>
      </w:r>
      <w:r>
        <w:rPr>
          <w:rFonts w:hint="eastAsia" w:ascii="Arial" w:hAnsi="Arial" w:cs="Arial"/>
          <w:szCs w:val="21"/>
          <w:highlight w:val="none"/>
        </w:rPr>
        <w:t xml:space="preserve">.</w:t>
      </w:r>
      <w:r>
        <w:rPr>
          <w:rFonts w:hint="eastAsia" w:ascii="宋体" w:hAnsi="宋体" w:cs="宋体"/>
          <w:szCs w:val="21"/>
          <w:highlight w:val="none"/>
        </w:rPr>
        <w:t xml:space="preserve">评分标准中对应的所需证明材料（如有自行添加）</w:t>
      </w:r>
      <w:r>
        <w:rPr>
          <w:rFonts w:hint="eastAsia" w:ascii="宋体" w:hAnsi="宋体" w:cs="宋体"/>
          <w:szCs w:val="21"/>
          <w:highlight w:val="none"/>
        </w:rPr>
      </w:r>
      <w:r/>
    </w:p>
    <w:p>
      <w:pPr>
        <w:pStyle w:val="842"/>
        <w:ind w:firstLine="420"/>
        <w:spacing w:line="360" w:lineRule="auto"/>
        <w:rPr>
          <w:rFonts w:hint="eastAsia" w:ascii="宋体" w:hAnsi="宋体" w:cs="宋体"/>
          <w:szCs w:val="21"/>
          <w:highlight w:val="none"/>
        </w:rPr>
      </w:pPr>
      <w:r>
        <w:rPr>
          <w:rFonts w:hint="eastAsia" w:ascii="Arial" w:hAnsi="Arial" w:eastAsia="宋体" w:cs="Arial"/>
          <w:szCs w:val="21"/>
          <w:highlight w:val="none"/>
        </w:rPr>
        <w:t xml:space="preserve">10.1</w:t>
      </w:r>
      <w:r>
        <w:rPr>
          <w:rFonts w:hint="eastAsia" w:ascii="Arial" w:hAnsi="Arial" w:eastAsia="宋体" w:cs="Arial"/>
          <w:szCs w:val="21"/>
          <w:highlight w:val="none"/>
          <w:lang w:val="en-US" w:eastAsia="zh-CN"/>
        </w:rPr>
        <w:t xml:space="preserve">0</w:t>
      </w:r>
      <w:r>
        <w:rPr>
          <w:rFonts w:hint="eastAsia" w:ascii="Arial" w:hAnsi="Arial" w:eastAsia="宋体" w:cs="Arial"/>
          <w:szCs w:val="21"/>
          <w:highlight w:val="none"/>
        </w:rPr>
        <w:t xml:space="preserve">.</w:t>
      </w:r>
      <w:r>
        <w:rPr>
          <w:rFonts w:hint="eastAsia" w:ascii="宋体" w:hAnsi="宋体" w:cs="宋体"/>
          <w:szCs w:val="21"/>
          <w:highlight w:val="none"/>
        </w:rPr>
        <w:t xml:space="preserve">要求采购人提供的配合（如有自拟并自行添加）</w:t>
      </w:r>
      <w:r>
        <w:rPr>
          <w:rFonts w:hint="eastAsia" w:ascii="宋体" w:hAnsi="宋体" w:cs="宋体"/>
          <w:szCs w:val="21"/>
          <w:highlight w:val="none"/>
        </w:rPr>
      </w:r>
      <w:r/>
    </w:p>
    <w:p>
      <w:pPr>
        <w:pStyle w:val="842"/>
        <w:ind w:firstLine="420"/>
        <w:spacing w:line="360" w:lineRule="auto"/>
        <w:rPr>
          <w:rFonts w:hint="eastAsia" w:ascii="宋体" w:hAnsi="宋体" w:cs="宋体"/>
          <w:szCs w:val="21"/>
          <w:highlight w:val="none"/>
        </w:rPr>
      </w:pPr>
      <w:r>
        <w:rPr>
          <w:rFonts w:hint="eastAsia" w:ascii="Arial" w:hAnsi="Arial" w:eastAsia="宋体" w:cs="Arial"/>
          <w:szCs w:val="21"/>
          <w:highlight w:val="none"/>
        </w:rPr>
        <w:t xml:space="preserve">10.1</w:t>
      </w:r>
      <w:r>
        <w:rPr>
          <w:rFonts w:hint="eastAsia" w:ascii="Arial" w:hAnsi="Arial" w:eastAsia="宋体" w:cs="Arial"/>
          <w:szCs w:val="21"/>
          <w:highlight w:val="none"/>
          <w:lang w:val="en-US" w:eastAsia="zh-CN"/>
        </w:rPr>
        <w:t xml:space="preserve">1</w:t>
      </w:r>
      <w:r>
        <w:rPr>
          <w:rFonts w:hint="eastAsia" w:ascii="Arial" w:hAnsi="Arial" w:eastAsia="宋体" w:cs="Arial"/>
          <w:szCs w:val="21"/>
          <w:highlight w:val="none"/>
        </w:rPr>
        <w:t xml:space="preserve">.</w:t>
      </w:r>
      <w:r>
        <w:rPr>
          <w:rFonts w:hint="eastAsia" w:ascii="宋体" w:hAnsi="宋体" w:cs="宋体"/>
          <w:szCs w:val="21"/>
          <w:highlight w:val="none"/>
        </w:rPr>
        <w:t xml:space="preserve">其它（投标人认为有必要提供的声明和文件，如有自拟并自行添加）</w:t>
      </w:r>
      <w:r>
        <w:rPr>
          <w:rFonts w:hint="eastAsia" w:ascii="宋体" w:hAnsi="宋体" w:cs="宋体"/>
          <w:szCs w:val="21"/>
          <w:highlight w:val="none"/>
        </w:rPr>
      </w:r>
      <w:r/>
    </w:p>
    <w:p>
      <w:pPr>
        <w:pStyle w:val="84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（1）投标供应商简介和经营情况说明；（格式见附件）</w:t>
      </w:r>
      <w:r>
        <w:rPr>
          <w:rFonts w:hint="eastAsia" w:ascii="宋体" w:hAnsi="宋体" w:cs="宋体"/>
          <w:szCs w:val="21"/>
          <w:highlight w:val="none"/>
        </w:rPr>
      </w:r>
      <w:r/>
    </w:p>
    <w:p>
      <w:pPr>
        <w:pStyle w:val="84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（2）如是小微企业的，提供《中小企业声明函》；（格式见附件）</w:t>
      </w:r>
      <w:r>
        <w:rPr>
          <w:rFonts w:hint="eastAsia" w:ascii="宋体" w:hAnsi="宋体" w:cs="宋体"/>
          <w:szCs w:val="21"/>
          <w:highlight w:val="none"/>
        </w:rPr>
      </w:r>
      <w:r/>
    </w:p>
    <w:p>
      <w:pPr>
        <w:pStyle w:val="84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（3）残疾人福利性单位声明函；（供应商为残疾人福利性单位的提供，格式见附件）</w:t>
      </w:r>
      <w:r>
        <w:rPr>
          <w:rFonts w:hint="eastAsia" w:ascii="宋体" w:hAnsi="宋体" w:cs="宋体"/>
          <w:szCs w:val="21"/>
          <w:highlight w:val="none"/>
        </w:rPr>
      </w:r>
      <w:r/>
    </w:p>
    <w:p>
      <w:pPr>
        <w:pStyle w:val="84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（4）由省级以上监狱管理局、戒毒管理局出具的属于监狱企业的证明文件；（如适用）</w:t>
      </w:r>
      <w:r>
        <w:rPr>
          <w:rFonts w:hint="eastAsia" w:ascii="宋体" w:hAnsi="宋体" w:cs="宋体"/>
          <w:szCs w:val="21"/>
          <w:highlight w:val="none"/>
        </w:rPr>
      </w:r>
      <w:r/>
    </w:p>
    <w:p>
      <w:pPr>
        <w:pStyle w:val="84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hint="eastAsia" w:ascii="宋体" w:hAnsi="宋体" w:cs="宋体"/>
          <w:szCs w:val="21"/>
          <w:highlight w:val="none"/>
        </w:rPr>
      </w:r>
      <w:r/>
    </w:p>
    <w:p>
      <w:pPr>
        <w:pStyle w:val="842"/>
        <w:ind w:firstLine="420"/>
        <w:spacing w:line="360" w:lineRule="auto"/>
        <w:rPr>
          <w:rFonts w:hint="eastAsia" w:ascii="Arial" w:hAnsi="Arial" w:cs="Arial"/>
          <w:color w:val="000000"/>
          <w:szCs w:val="21"/>
          <w:highlight w:val="none"/>
        </w:rPr>
      </w:pPr>
      <w:r>
        <w:rPr>
          <w:rFonts w:hint="eastAsia" w:ascii="宋体" w:hAnsi="宋体" w:cs="宋体"/>
          <w:b/>
          <w:bCs/>
          <w:i/>
          <w:iCs/>
          <w:szCs w:val="21"/>
          <w:highlight w:val="none"/>
          <w:u w:val="single"/>
        </w:rPr>
        <w:t xml:space="preserve">上述10.1-10.</w:t>
      </w:r>
      <w:r>
        <w:rPr>
          <w:rFonts w:hint="eastAsia" w:ascii="宋体" w:hAnsi="宋体" w:cs="宋体"/>
          <w:b/>
          <w:bCs/>
          <w:i/>
          <w:iCs/>
          <w:szCs w:val="21"/>
          <w:highlight w:val="none"/>
          <w:u w:val="single"/>
          <w:lang w:val="en-US" w:eastAsia="zh-CN"/>
        </w:rPr>
        <w:t xml:space="preserve">6</w:t>
      </w:r>
      <w:r>
        <w:rPr>
          <w:rFonts w:hint="eastAsia" w:ascii="宋体" w:hAnsi="宋体" w:cs="宋体"/>
          <w:b/>
          <w:bCs/>
          <w:i/>
          <w:iCs/>
          <w:szCs w:val="21"/>
          <w:highlight w:val="none"/>
          <w:u w:val="single"/>
        </w:rPr>
        <w:t xml:space="preserve">项必须全部提供,否则投标文件无效。</w:t>
      </w:r>
      <w:r>
        <w:rPr>
          <w:rFonts w:hint="eastAsia" w:ascii="宋体" w:hAnsi="宋体" w:cs="宋体"/>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rPr>
          <w:rFonts w:hint="eastAsia" w:ascii="Arial" w:hAnsi="Arial" w:cs="Arial"/>
          <w:color w:val="000000"/>
          <w:szCs w:val="21"/>
          <w:highlight w:val="none"/>
        </w:rPr>
      </w:r>
      <w:r/>
    </w:p>
    <w:p>
      <w:pPr>
        <w:pStyle w:val="842"/>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rPr>
          <w:rFonts w:hint="eastAsia" w:ascii="宋体" w:hAnsi="宋体" w:cs="Arial"/>
          <w:szCs w:val="21"/>
          <w:highlight w:val="none"/>
        </w:rPr>
      </w:r>
      <w:r/>
    </w:p>
    <w:p>
      <w:pPr>
        <w:pStyle w:val="1043"/>
        <w:ind w:left="0" w:firstLine="422"/>
        <w:jc w:val="both"/>
        <w:spacing w:line="360" w:lineRule="auto"/>
        <w:tabs>
          <w:tab w:val="left" w:pos="480" w:leader="none"/>
        </w:tabs>
        <w:rPr>
          <w:rFonts w:ascii="宋体" w:hAnsi="宋体" w:eastAsia="宋体" w:cs="Arial"/>
          <w:b/>
          <w:bCs/>
          <w:color w:val="000000"/>
          <w:sz w:val="21"/>
          <w:szCs w:val="21"/>
          <w:highlight w:val="none"/>
        </w:rPr>
        <w:outlineLvl w:val="9"/>
      </w:pPr>
      <w:r/>
      <w:bookmarkStart w:id="74" w:name="_Toc15215"/>
      <w:r/>
      <w:bookmarkStart w:id="75" w:name="_Toc31206"/>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4"/>
      <w:r/>
      <w:bookmarkEnd w:id="75"/>
      <w:r>
        <w:rPr>
          <w:rFonts w:ascii="宋体" w:hAnsi="宋体" w:eastAsia="宋体" w:cs="Arial"/>
          <w:b/>
          <w:bCs/>
          <w:color w:val="000000"/>
          <w:sz w:val="21"/>
          <w:szCs w:val="21"/>
          <w:highlight w:val="none"/>
        </w:rPr>
      </w:r>
      <w:r/>
    </w:p>
    <w:p>
      <w:pPr>
        <w:pStyle w:val="842"/>
        <w:ind w:firstLine="420"/>
        <w:jc w:val="left"/>
        <w:spacing w:line="360" w:lineRule="auto"/>
        <w:rPr>
          <w:rFonts w:ascii="宋体" w:hAnsi="宋体" w:cs="Arial"/>
          <w:bCs/>
          <w:szCs w:val="21"/>
          <w:highlight w:val="none"/>
        </w:rPr>
      </w:pPr>
      <w:r/>
      <w:bookmarkStart w:id="76"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rPr>
          <w:rFonts w:ascii="宋体" w:hAnsi="宋体" w:cs="Arial"/>
          <w:bCs/>
          <w:szCs w:val="21"/>
          <w:highlight w:val="none"/>
        </w:rPr>
      </w:r>
      <w:r/>
    </w:p>
    <w:p>
      <w:pPr>
        <w:pStyle w:val="842"/>
        <w:ind w:firstLine="420"/>
        <w:spacing w:line="360" w:lineRule="auto"/>
        <w:rPr>
          <w:rFonts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rPr>
          <w:rFonts w:ascii="宋体" w:hAnsi="宋体" w:cs="Arial"/>
          <w:bCs/>
          <w:szCs w:val="21"/>
          <w:highlight w:val="none"/>
        </w:rPr>
      </w:r>
      <w:r/>
    </w:p>
    <w:p>
      <w:pPr>
        <w:pStyle w:val="1043"/>
        <w:ind w:left="0" w:firstLine="422"/>
        <w:jc w:val="both"/>
        <w:spacing w:line="360" w:lineRule="auto"/>
        <w:tabs>
          <w:tab w:val="left" w:pos="480" w:leader="none"/>
        </w:tabs>
        <w:rPr>
          <w:rFonts w:hint="eastAsia" w:ascii="宋体" w:hAnsi="宋体" w:eastAsia="宋体" w:cs="Arial"/>
          <w:b/>
          <w:bCs/>
          <w:color w:val="000000"/>
          <w:sz w:val="21"/>
          <w:szCs w:val="21"/>
          <w:highlight w:val="none"/>
        </w:rPr>
        <w:outlineLvl w:val="9"/>
      </w:pPr>
      <w:r/>
      <w:bookmarkStart w:id="77" w:name="_Toc21944"/>
      <w:r>
        <w:rPr>
          <w:rFonts w:hint="eastAsia" w:ascii="宋体" w:hAnsi="宋体" w:eastAsia="宋体" w:cs="Arial"/>
          <w:b/>
          <w:bCs/>
          <w:color w:val="000000"/>
          <w:sz w:val="21"/>
          <w:szCs w:val="21"/>
          <w:highlight w:val="none"/>
        </w:rPr>
        <w:t xml:space="preserve">12.</w:t>
      </w:r>
      <w:bookmarkEnd w:id="76"/>
      <w:r/>
      <w:bookmarkEnd w:id="77"/>
      <w:r>
        <w:rPr>
          <w:rFonts w:hint="eastAsia" w:ascii="宋体" w:hAnsi="宋体" w:eastAsia="宋体" w:cs="Arial"/>
          <w:b/>
          <w:bCs/>
          <w:color w:val="000000"/>
          <w:sz w:val="21"/>
          <w:szCs w:val="21"/>
          <w:highlight w:val="none"/>
        </w:rPr>
        <w:t xml:space="preserve">投标文件的编制要求和签署要求</w:t>
      </w:r>
      <w:r>
        <w:rPr>
          <w:rFonts w:hint="eastAsia" w:ascii="宋体" w:hAnsi="宋体" w:eastAsia="宋体" w:cs="Arial"/>
          <w:b/>
          <w:bCs/>
          <w:color w:val="000000"/>
          <w:sz w:val="21"/>
          <w:szCs w:val="21"/>
          <w:highlight w:val="none"/>
        </w:rPr>
      </w:r>
      <w:r/>
    </w:p>
    <w:p>
      <w:pPr>
        <w:pStyle w:val="842"/>
        <w:ind w:firstLine="420"/>
        <w:spacing w:line="360" w:lineRule="auto"/>
        <w:rPr>
          <w:rFonts w:hint="eastAsia" w:ascii="宋体" w:hAnsi="宋体" w:cs="Arial"/>
          <w:bCs/>
          <w:szCs w:val="21"/>
          <w:highlight w:val="none"/>
        </w:rPr>
      </w:pPr>
      <w:r/>
      <w:bookmarkStart w:id="78" w:name="_Toc27455"/>
      <w:r>
        <w:rPr>
          <w:rFonts w:hint="eastAsia" w:ascii="宋体" w:hAnsi="宋体" w:cs="Arial"/>
          <w:bCs/>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rPr>
          <w:rFonts w:hint="eastAsia" w:ascii="宋体" w:hAnsi="宋体" w:cs="Arial"/>
          <w:bCs/>
          <w:szCs w:val="21"/>
          <w:highlight w:val="none"/>
        </w:rPr>
      </w:r>
      <w:r/>
    </w:p>
    <w:p>
      <w:pPr>
        <w:pStyle w:val="842"/>
        <w:ind w:firstLine="420"/>
        <w:spacing w:line="360" w:lineRule="auto"/>
        <w:shd w:val="clear" w:color="auto" w:fill="ffffff"/>
        <w:widowControl/>
        <w:rPr>
          <w:rFonts w:ascii="宋体" w:hAnsi="宋体" w:cs="Arial"/>
          <w:b/>
          <w:bCs/>
          <w:color w:val="000000"/>
          <w:szCs w:val="21"/>
          <w:highlight w:val="none"/>
        </w:rPr>
        <w:outlineLvl w:val="1"/>
      </w:pPr>
      <w:r/>
      <w:bookmarkStart w:id="79" w:name="_Toc9506"/>
      <w:r>
        <w:rPr>
          <w:rFonts w:ascii="宋体" w:hAnsi="宋体" w:cs="Arial"/>
          <w:b/>
          <w:bCs/>
          <w:color w:val="000000"/>
          <w:szCs w:val="21"/>
          <w:highlight w:val="none"/>
        </w:rPr>
        <w:t xml:space="preserve">四、投标文件的递交</w:t>
      </w:r>
      <w:bookmarkEnd w:id="78"/>
      <w:r/>
      <w:bookmarkEnd w:id="79"/>
      <w:r>
        <w:rPr>
          <w:rFonts w:hint="eastAsia" w:ascii="宋体" w:hAnsi="宋体" w:cs="Arial"/>
          <w:b/>
          <w:bCs/>
          <w:color w:val="000000"/>
          <w:szCs w:val="21"/>
          <w:highlight w:val="none"/>
        </w:rPr>
        <w:t xml:space="preserve"> </w:t>
      </w:r>
      <w:r>
        <w:rPr>
          <w:rFonts w:ascii="宋体" w:hAnsi="宋体" w:cs="Arial"/>
          <w:b/>
          <w:bCs/>
          <w:color w:val="000000"/>
          <w:szCs w:val="21"/>
          <w:highlight w:val="none"/>
        </w:rPr>
      </w:r>
      <w:r/>
    </w:p>
    <w:p>
      <w:pPr>
        <w:pStyle w:val="842"/>
        <w:ind w:firstLine="420"/>
        <w:spacing w:line="360" w:lineRule="auto"/>
        <w:shd w:val="clear" w:color="auto" w:fill="ffffff"/>
        <w:widowControl/>
        <w:rPr>
          <w:rFonts w:hint="eastAsia" w:ascii="宋体" w:hAnsi="宋体" w:cs="Arial"/>
          <w:b/>
          <w:bCs/>
          <w:color w:val="000000"/>
          <w:szCs w:val="21"/>
          <w:highlight w:val="none"/>
        </w:rPr>
        <w:outlineLvl w:val="9"/>
      </w:pPr>
      <w:r/>
      <w:bookmarkStart w:id="80" w:name="_Toc20823297"/>
      <w:r/>
      <w:bookmarkStart w:id="81" w:name="_Toc462564084"/>
      <w:r/>
      <w:bookmarkStart w:id="82" w:name="_Toc513029225"/>
      <w:r/>
      <w:bookmarkStart w:id="83" w:name="_Toc16938541"/>
      <w:r>
        <w:rPr>
          <w:rFonts w:hint="eastAsia" w:ascii="宋体" w:hAnsi="宋体" w:cs="Arial"/>
          <w:b/>
          <w:bCs/>
          <w:color w:val="000000"/>
          <w:szCs w:val="21"/>
          <w:highlight w:val="none"/>
        </w:rPr>
        <w:t xml:space="preserve">13.电子投标文件</w:t>
      </w:r>
      <w:bookmarkEnd w:id="80"/>
      <w:r/>
      <w:bookmarkEnd w:id="81"/>
      <w:r/>
      <w:bookmarkEnd w:id="82"/>
      <w:r/>
      <w:bookmarkEnd w:id="83"/>
      <w:r>
        <w:rPr>
          <w:rFonts w:hint="eastAsia" w:ascii="宋体" w:hAnsi="宋体" w:cs="Arial"/>
          <w:b/>
          <w:bCs/>
          <w:color w:val="000000"/>
          <w:szCs w:val="21"/>
          <w:highlight w:val="none"/>
        </w:rPr>
        <w:t xml:space="preserve">的递交</w:t>
      </w:r>
      <w:r>
        <w:rPr>
          <w:rFonts w:hint="eastAsia" w:ascii="宋体" w:hAnsi="宋体" w:cs="Arial"/>
          <w:b/>
          <w:bCs/>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13.1投标人应当按照规定，在投标截止时间前制作并上传电子投标文件。</w:t>
      </w:r>
      <w:bookmarkStart w:id="84" w:name="_Toc20823298"/>
      <w:r/>
      <w:bookmarkEnd w:id="84"/>
      <w:r/>
      <w:bookmarkStart w:id="85" w:name="_Toc16938542"/>
      <w:r/>
      <w:bookmarkEnd w:id="85"/>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b/>
          <w:bCs/>
          <w:color w:val="000000"/>
          <w:szCs w:val="21"/>
          <w:highlight w:val="none"/>
        </w:rPr>
        <w:outlineLvl w:val="9"/>
      </w:pPr>
      <w:r>
        <w:rPr>
          <w:rFonts w:hint="eastAsia" w:ascii="宋体" w:hAnsi="宋体" w:cs="Arial"/>
          <w:b/>
          <w:bCs/>
          <w:color w:val="000000"/>
          <w:szCs w:val="21"/>
          <w:highlight w:val="none"/>
        </w:rPr>
        <w:t xml:space="preserve">14.投标截止日期</w:t>
      </w:r>
      <w:r>
        <w:rPr>
          <w:rFonts w:hint="eastAsia" w:ascii="宋体" w:hAnsi="宋体" w:cs="Arial"/>
          <w:b/>
          <w:bCs/>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14.1 投标人上传电子投标文件的时间不得迟于招标公告中规定的投标截止时间。</w:t>
      </w:r>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投标人应充分考虑到网络环境、网络带宽等风险因素，如因投标人自身原因造成的电子投标文件上传不成功的做无效投标处理。</w:t>
      </w:r>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b/>
          <w:bCs/>
          <w:color w:val="000000"/>
          <w:szCs w:val="21"/>
          <w:highlight w:val="none"/>
        </w:rPr>
        <w:outlineLvl w:val="9"/>
      </w:pPr>
      <w:r/>
      <w:bookmarkStart w:id="86" w:name="_Toc20823299"/>
      <w:r/>
      <w:bookmarkStart w:id="87" w:name="_Toc16938543"/>
      <w:r/>
      <w:bookmarkStart w:id="88" w:name="_Toc513029227"/>
      <w:r>
        <w:rPr>
          <w:rFonts w:hint="eastAsia" w:ascii="宋体" w:hAnsi="宋体" w:cs="Arial"/>
          <w:b/>
          <w:bCs/>
          <w:color w:val="000000"/>
          <w:szCs w:val="21"/>
          <w:highlight w:val="none"/>
        </w:rPr>
        <w:t xml:space="preserve">15.投标文件</w:t>
      </w:r>
      <w:bookmarkEnd w:id="86"/>
      <w:r/>
      <w:bookmarkEnd w:id="87"/>
      <w:r/>
      <w:bookmarkEnd w:id="88"/>
      <w:r>
        <w:rPr>
          <w:rFonts w:hint="eastAsia" w:ascii="宋体" w:hAnsi="宋体" w:cs="Arial"/>
          <w:b/>
          <w:bCs/>
          <w:color w:val="000000"/>
          <w:szCs w:val="21"/>
          <w:highlight w:val="none"/>
        </w:rPr>
        <w:t xml:space="preserve">的拒收</w:t>
      </w:r>
      <w:r>
        <w:rPr>
          <w:rFonts w:hint="eastAsia" w:ascii="宋体" w:hAnsi="宋体" w:cs="Arial"/>
          <w:b/>
          <w:bCs/>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15.1 采购人及采购代理机构拒绝接收在其规定的投标截止时间后上传的任何投标文件。</w:t>
      </w:r>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b/>
          <w:bCs/>
          <w:color w:val="000000"/>
          <w:szCs w:val="21"/>
          <w:highlight w:val="none"/>
        </w:rPr>
        <w:outlineLvl w:val="9"/>
      </w:pPr>
      <w:r/>
      <w:bookmarkStart w:id="89" w:name="_Toc16938544"/>
      <w:r/>
      <w:bookmarkStart w:id="90" w:name="_Toc20823300"/>
      <w:r/>
      <w:bookmarkStart w:id="91" w:name="_Toc513029228"/>
      <w:r>
        <w:rPr>
          <w:rFonts w:hint="eastAsia" w:ascii="宋体" w:hAnsi="宋体" w:cs="Arial"/>
          <w:b/>
          <w:bCs/>
          <w:color w:val="000000"/>
          <w:szCs w:val="21"/>
          <w:highlight w:val="none"/>
        </w:rPr>
        <w:t xml:space="preserve">16.投标文件的撤回和修改</w:t>
      </w:r>
      <w:bookmarkEnd w:id="89"/>
      <w:r/>
      <w:bookmarkEnd w:id="90"/>
      <w:r/>
      <w:bookmarkEnd w:id="91"/>
      <w:r>
        <w:rPr>
          <w:rFonts w:hint="eastAsia" w:ascii="宋体" w:hAnsi="宋体" w:cs="Arial"/>
          <w:b/>
          <w:bCs/>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16.1 投标文件的撤回</w:t>
      </w:r>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16.1.1 电子投标文件的撤回</w:t>
      </w:r>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投标人可在投标截止时间前，撤回其电子投标文件。</w:t>
      </w:r>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16.1.2 投标人撤回电子投标文件，则认为其不再参与本项目投标活动。</w:t>
      </w:r>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16.2 投标文件的修改</w:t>
      </w:r>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16.2.1投标人可在投标截止时间前，对其电子投标文件进行修改。</w:t>
      </w:r>
      <w:r>
        <w:rPr>
          <w:rFonts w:hint="eastAsia" w:ascii="宋体" w:hAnsi="宋体" w:cs="Arial"/>
          <w:color w:val="000000"/>
          <w:szCs w:val="21"/>
          <w:highlight w:val="none"/>
        </w:rPr>
      </w:r>
      <w:r/>
    </w:p>
    <w:p>
      <w:pPr>
        <w:pStyle w:val="842"/>
        <w:ind w:firstLine="420"/>
        <w:spacing w:line="360" w:lineRule="auto"/>
        <w:shd w:val="clear" w:color="auto" w:fill="ffffff"/>
        <w:widowControl/>
        <w:rPr>
          <w:rFonts w:hint="eastAsia" w:ascii="宋体" w:hAnsi="宋体" w:cs="Arial"/>
          <w:color w:val="000000"/>
          <w:szCs w:val="21"/>
          <w:highlight w:val="none"/>
        </w:rPr>
        <w:outlineLvl w:val="9"/>
      </w:pPr>
      <w:r>
        <w:rPr>
          <w:rFonts w:hint="eastAsia" w:ascii="宋体" w:hAnsi="宋体" w:cs="Arial"/>
          <w:color w:val="000000"/>
          <w:szCs w:val="21"/>
          <w:highlight w:val="none"/>
        </w:rPr>
        <w:t xml:space="preserve">16.2.2 在投标截止时间之后，投标人不得对其电子投标文件作任何修改。</w:t>
      </w:r>
      <w:r>
        <w:rPr>
          <w:rFonts w:hint="eastAsia" w:ascii="宋体" w:hAnsi="宋体" w:cs="Arial"/>
          <w:color w:val="000000"/>
          <w:szCs w:val="21"/>
          <w:highlight w:val="none"/>
        </w:rPr>
      </w:r>
      <w:r/>
    </w:p>
    <w:p>
      <w:pPr>
        <w:pStyle w:val="842"/>
        <w:ind w:firstLine="420"/>
        <w:spacing w:line="360" w:lineRule="auto"/>
        <w:shd w:val="clear" w:color="auto" w:fill="ffffff"/>
        <w:widowControl/>
        <w:rPr>
          <w:rFonts w:ascii="宋体" w:hAnsi="宋体" w:cs="Arial"/>
          <w:color w:val="000000"/>
          <w:szCs w:val="21"/>
          <w:highlight w:val="none"/>
        </w:rPr>
        <w:outlineLvl w:val="9"/>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rPr>
          <w:rFonts w:ascii="宋体" w:hAnsi="宋体" w:cs="Arial"/>
          <w:color w:val="000000"/>
          <w:szCs w:val="21"/>
          <w:highlight w:val="none"/>
        </w:rPr>
      </w:r>
      <w:r/>
    </w:p>
    <w:p>
      <w:pPr>
        <w:pStyle w:val="842"/>
        <w:ind w:firstLine="420"/>
        <w:spacing w:line="360" w:lineRule="auto"/>
        <w:shd w:val="clear" w:color="auto" w:fill="ffffff"/>
        <w:widowControl/>
        <w:rPr>
          <w:rFonts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rPr>
          <w:rFonts w:ascii="宋体" w:hAnsi="宋体" w:cs="Arial"/>
          <w:b/>
          <w:bCs/>
          <w:color w:val="000000"/>
          <w:szCs w:val="21"/>
          <w:highlight w:val="none"/>
        </w:rPr>
      </w:r>
      <w:r/>
    </w:p>
    <w:p>
      <w:pPr>
        <w:pStyle w:val="1043"/>
        <w:ind w:left="0" w:firstLine="422"/>
        <w:jc w:val="both"/>
        <w:spacing w:line="360" w:lineRule="auto"/>
        <w:tabs>
          <w:tab w:val="left" w:pos="480" w:leader="none"/>
        </w:tabs>
        <w:rPr>
          <w:rFonts w:hint="eastAsia" w:ascii="宋体" w:hAnsi="宋体" w:eastAsia="宋体" w:cs="Arial"/>
          <w:b/>
          <w:bCs/>
          <w:color w:val="000000"/>
          <w:sz w:val="21"/>
          <w:szCs w:val="21"/>
          <w:highlight w:val="none"/>
        </w:rPr>
        <w:outlineLvl w:val="9"/>
      </w:pPr>
      <w:r/>
      <w:bookmarkStart w:id="92" w:name="_Toc15345"/>
      <w:r/>
      <w:bookmarkStart w:id="93" w:name="_Toc3679"/>
      <w:r/>
      <w:bookmarkStart w:id="94" w:name="_Toc13829"/>
      <w:r/>
      <w:bookmarkStart w:id="95" w:name="_Toc20683"/>
      <w:r/>
      <w:bookmarkStart w:id="96" w:name="OLE_LINK7"/>
      <w:r/>
      <w:bookmarkStart w:id="97" w:name="OLE_LINK3"/>
      <w:r/>
      <w:bookmarkStart w:id="98" w:name="_Toc6944"/>
      <w:r>
        <w:rPr>
          <w:rFonts w:hint="eastAsia" w:ascii="宋体" w:hAnsi="宋体" w:eastAsia="宋体" w:cs="Arial"/>
          <w:b/>
          <w:bCs/>
          <w:color w:val="000000"/>
          <w:sz w:val="21"/>
          <w:szCs w:val="21"/>
          <w:highlight w:val="none"/>
        </w:rPr>
        <w:t xml:space="preserve">17.开标</w:t>
      </w:r>
      <w:bookmarkEnd w:id="92"/>
      <w:r/>
      <w:bookmarkEnd w:id="93"/>
      <w:r/>
      <w:bookmarkEnd w:id="94"/>
      <w:r/>
      <w:bookmarkEnd w:id="95"/>
      <w:r>
        <w:rPr>
          <w:rFonts w:hint="eastAsia" w:ascii="宋体" w:hAnsi="宋体" w:eastAsia="宋体" w:cs="Arial"/>
          <w:b/>
          <w:bCs/>
          <w:color w:val="000000"/>
          <w:sz w:val="21"/>
          <w:szCs w:val="21"/>
          <w:highlight w:val="none"/>
        </w:rPr>
      </w:r>
      <w:r/>
    </w:p>
    <w:p>
      <w:pPr>
        <w:pStyle w:val="842"/>
        <w:ind w:firstLine="422"/>
        <w:spacing w:line="360" w:lineRule="auto"/>
        <w:rPr>
          <w:rFonts w:hint="eastAsia" w:ascii="宋体" w:hAnsi="宋体" w:cs="Arial"/>
          <w:szCs w:val="21"/>
          <w:highlight w:val="none"/>
        </w:rPr>
      </w:pPr>
      <w:r/>
      <w:bookmarkEnd w:id="96"/>
      <w:r/>
      <w:bookmarkEnd w:id="97"/>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rPr>
          <w:rFonts w:hint="eastAsia" w:ascii="宋体" w:hAnsi="宋体" w:cs="Arial"/>
          <w:szCs w:val="21"/>
          <w:highlight w:val="none"/>
        </w:rPr>
      </w:r>
      <w:r/>
    </w:p>
    <w:p>
      <w:pPr>
        <w:pStyle w:val="842"/>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17.2由电子招标投标交易平台主持，邀请投标人参加。</w:t>
      </w:r>
      <w:r>
        <w:rPr>
          <w:rFonts w:hint="eastAsia" w:ascii="宋体" w:hAnsi="宋体" w:cs="Arial"/>
          <w:szCs w:val="21"/>
          <w:highlight w:val="none"/>
        </w:rPr>
      </w:r>
      <w:r/>
    </w:p>
    <w:p>
      <w:pPr>
        <w:pStyle w:val="842"/>
        <w:ind w:firstLine="422"/>
        <w:spacing w:line="360" w:lineRule="auto"/>
        <w:rPr>
          <w:rFonts w:hint="eastAsia" w:ascii="宋体" w:hAnsi="宋体" w:cs="Arial"/>
          <w:b/>
          <w:bCs/>
          <w:szCs w:val="21"/>
          <w:highlight w:val="none"/>
        </w:rPr>
      </w:pPr>
      <w:r>
        <w:rPr>
          <w:rFonts w:hint="eastAsia" w:ascii="宋体" w:hAnsi="宋体" w:cs="Arial"/>
          <w:b/>
          <w:bCs/>
          <w:szCs w:val="21"/>
          <w:highlight w:val="none"/>
        </w:rPr>
        <w:t xml:space="preserve">17.3所有投标单位使用 CA 证书在开标时间时，解密各自投标文件，由工作人员操作系统进行开标，投标人不足3家的，不得开标。</w:t>
      </w:r>
      <w:r>
        <w:rPr>
          <w:rFonts w:hint="eastAsia" w:ascii="宋体" w:hAnsi="宋体" w:cs="Arial"/>
          <w:b/>
          <w:bCs/>
          <w:szCs w:val="21"/>
          <w:highlight w:val="none"/>
        </w:rPr>
      </w:r>
      <w:r/>
    </w:p>
    <w:p>
      <w:pPr>
        <w:pStyle w:val="842"/>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Arial"/>
          <w:szCs w:val="21"/>
          <w:highlight w:val="none"/>
        </w:rPr>
      </w:r>
      <w:r/>
    </w:p>
    <w:p>
      <w:pPr>
        <w:pStyle w:val="842"/>
        <w:ind w:firstLine="422"/>
        <w:spacing w:line="360" w:lineRule="auto"/>
        <w:rPr>
          <w:szCs w:val="21"/>
          <w:highlight w:val="none"/>
        </w:rPr>
      </w:pPr>
      <w:r>
        <w:rPr>
          <w:rFonts w:hint="eastAsia" w:ascii="宋体" w:hAnsi="宋体" w:cs="Arial"/>
          <w:b/>
          <w:bCs/>
          <w:szCs w:val="21"/>
          <w:highlight w:val="none"/>
        </w:rPr>
        <w:t xml:space="preserve">18.资格性审查：</w:t>
      </w:r>
      <w:r>
        <w:rPr>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18.2信用信息查询</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
          <w:bCs w:val="0"/>
          <w:szCs w:val="21"/>
          <w:highlight w:val="none"/>
        </w:rPr>
        <w:t xml:space="preserve">18.3</w:t>
      </w:r>
      <w:bookmarkEnd w:id="98"/>
      <w:r/>
      <w:bookmarkStart w:id="99" w:name="_Toc30296"/>
      <w:r/>
      <w:bookmarkStart w:id="100" w:name="_Toc20823303"/>
      <w:r/>
      <w:bookmarkStart w:id="101" w:name="_Toc513029231"/>
      <w:r/>
      <w:bookmarkStart w:id="102" w:name="_Toc16938547"/>
      <w:r/>
      <w:bookmarkStart w:id="103" w:name="_Toc29284"/>
      <w:r>
        <w:rPr>
          <w:rFonts w:hint="eastAsia" w:ascii="宋体" w:hAnsi="宋体" w:cs="Arial"/>
          <w:b/>
          <w:bCs w:val="0"/>
          <w:szCs w:val="21"/>
          <w:highlight w:val="none"/>
        </w:rPr>
        <w:t xml:space="preserve">通过资格性审查合格的投标人不足3家的，不得评标。</w:t>
      </w:r>
      <w:r>
        <w:rPr>
          <w:rFonts w:hint="eastAsia" w:ascii="宋体" w:hAnsi="宋体" w:cs="Arial"/>
          <w:bCs/>
          <w:szCs w:val="21"/>
          <w:highlight w:val="none"/>
        </w:rPr>
      </w:r>
      <w:r/>
    </w:p>
    <w:p>
      <w:pPr>
        <w:pStyle w:val="842"/>
        <w:ind w:firstLine="422"/>
        <w:spacing w:line="360" w:lineRule="auto"/>
        <w:rPr>
          <w:rFonts w:hint="eastAsia" w:ascii="宋体" w:hAnsi="宋体" w:cs="Arial"/>
          <w:b/>
          <w:szCs w:val="21"/>
          <w:highlight w:val="none"/>
        </w:rPr>
      </w:pPr>
      <w:r>
        <w:rPr>
          <w:rFonts w:hint="eastAsia" w:ascii="宋体" w:hAnsi="宋体" w:cs="Arial"/>
          <w:b/>
          <w:szCs w:val="21"/>
          <w:highlight w:val="none"/>
        </w:rPr>
        <w:t xml:space="preserve">19.评标 </w:t>
      </w:r>
      <w:r>
        <w:rPr>
          <w:rFonts w:hint="eastAsia" w:ascii="宋体" w:hAnsi="宋体" w:cs="Arial"/>
          <w:b/>
          <w:szCs w:val="21"/>
          <w:highlight w:val="none"/>
        </w:rPr>
      </w:r>
      <w:r/>
    </w:p>
    <w:p>
      <w:pPr>
        <w:pStyle w:val="842"/>
        <w:ind w:firstLine="422"/>
        <w:spacing w:line="360" w:lineRule="auto"/>
        <w:rPr>
          <w:rFonts w:ascii="宋体" w:hAnsi="宋体" w:cs="Arial"/>
          <w:b/>
          <w:szCs w:val="21"/>
          <w:highlight w:val="none"/>
        </w:rPr>
      </w:pPr>
      <w:r>
        <w:rPr>
          <w:rFonts w:hint="eastAsia" w:ascii="宋体" w:hAnsi="宋体" w:cs="Arial"/>
          <w:b/>
          <w:szCs w:val="21"/>
          <w:highlight w:val="none"/>
        </w:rPr>
        <w:t xml:space="preserve">19.1评标组织</w:t>
      </w:r>
      <w:r>
        <w:rPr>
          <w:rFonts w:ascii="宋体" w:hAnsi="宋体" w:cs="Arial"/>
          <w:b/>
          <w:szCs w:val="21"/>
          <w:highlight w:val="none"/>
        </w:rPr>
      </w:r>
      <w:r/>
    </w:p>
    <w:p>
      <w:pPr>
        <w:pStyle w:val="842"/>
        <w:ind w:firstLine="420"/>
        <w:spacing w:line="360" w:lineRule="auto"/>
        <w:rPr>
          <w:rFonts w:hint="eastAsia" w:ascii="Arial" w:hAnsi="Arial" w:cs="Arial"/>
          <w:bCs/>
          <w:szCs w:val="21"/>
          <w:highlight w:val="none"/>
        </w:rPr>
      </w:pPr>
      <w:r>
        <w:rPr>
          <w:rFonts w:hint="eastAsia" w:ascii="宋体" w:hAnsi="宋体" w:cs="Arial"/>
          <w:bCs/>
          <w:szCs w:val="21"/>
          <w:highlight w:val="none"/>
        </w:rPr>
        <w:t xml:space="preserve">19.1评</w:t>
      </w:r>
      <w:r>
        <w:rPr>
          <w:rFonts w:hint="eastAsia" w:ascii="Arial" w:hAnsi="Arial" w:cs="Arial"/>
          <w:bCs/>
          <w:szCs w:val="21"/>
          <w:highlight w:val="none"/>
        </w:rPr>
        <w:t xml:space="preserve">标工作由采购代理机构负责组织，具体评标事务由依法组建的评标委员会负责，并独立履行下列职责：</w:t>
      </w:r>
      <w:r>
        <w:rPr>
          <w:rFonts w:hint="eastAsia" w:ascii="Arial" w:hAnsi="Arial" w:cs="Arial"/>
          <w:bCs/>
          <w:szCs w:val="21"/>
          <w:highlight w:val="none"/>
        </w:rPr>
      </w:r>
      <w:r/>
    </w:p>
    <w:p>
      <w:pPr>
        <w:pStyle w:val="842"/>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rPr>
          <w:bCs/>
          <w:szCs w:val="21"/>
          <w:highlight w:val="none"/>
        </w:rPr>
      </w:r>
      <w:r/>
    </w:p>
    <w:p>
      <w:pPr>
        <w:pStyle w:val="842"/>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rPr>
          <w:bCs/>
          <w:szCs w:val="21"/>
          <w:highlight w:val="none"/>
        </w:rPr>
      </w:r>
      <w:r/>
    </w:p>
    <w:p>
      <w:pPr>
        <w:pStyle w:val="842"/>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rPr>
          <w:bCs/>
          <w:szCs w:val="21"/>
          <w:highlight w:val="none"/>
        </w:rPr>
      </w:r>
      <w:r/>
    </w:p>
    <w:p>
      <w:pPr>
        <w:pStyle w:val="842"/>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rPr>
          <w:bCs/>
          <w:szCs w:val="21"/>
          <w:highlight w:val="none"/>
        </w:rPr>
      </w:r>
      <w:r/>
    </w:p>
    <w:p>
      <w:pPr>
        <w:pStyle w:val="842"/>
        <w:ind w:firstLine="42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rPr>
          <w:szCs w:val="21"/>
          <w:highlight w:val="none"/>
        </w:rPr>
      </w:r>
      <w:r/>
    </w:p>
    <w:p>
      <w:pPr>
        <w:pStyle w:val="842"/>
        <w:ind w:firstLine="42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szCs w:val="21"/>
          <w:highlight w:val="none"/>
        </w:rPr>
        <w:t xml:space="preserve">评标委员会由采购人代表和有关技术、经济等方面的专家组成，独立开展评审工作且评标委员会人员构成符合有关规定。</w:t>
      </w:r>
      <w:r>
        <w:rPr>
          <w:szCs w:val="21"/>
          <w:highlight w:val="none"/>
        </w:rPr>
      </w:r>
      <w:r/>
    </w:p>
    <w:p>
      <w:pPr>
        <w:pStyle w:val="842"/>
        <w:ind w:firstLine="422"/>
        <w:spacing w:line="360" w:lineRule="auto"/>
        <w:rPr>
          <w:rFonts w:hint="eastAsia" w:ascii="宋体" w:hAnsi="宋体" w:cs="Arial"/>
          <w:b/>
          <w:szCs w:val="21"/>
          <w:highlight w:val="none"/>
        </w:rPr>
      </w:pPr>
      <w:r/>
      <w:bookmarkStart w:id="104" w:name="_Toc16288"/>
      <w:r>
        <w:rPr>
          <w:rFonts w:hint="eastAsia" w:ascii="宋体" w:hAnsi="宋体" w:cs="Arial"/>
          <w:b/>
          <w:szCs w:val="21"/>
          <w:highlight w:val="none"/>
        </w:rPr>
        <w:t xml:space="preserve">19.3 对投标文件的符合性审查</w:t>
      </w:r>
      <w:bookmarkEnd w:id="104"/>
      <w:r>
        <w:rPr>
          <w:rFonts w:hint="eastAsia" w:ascii="宋体" w:hAnsi="宋体" w:cs="Arial"/>
          <w:b/>
          <w:szCs w:val="21"/>
          <w:highlight w:val="none"/>
        </w:rPr>
      </w:r>
      <w:r/>
    </w:p>
    <w:p>
      <w:pPr>
        <w:pStyle w:val="842"/>
        <w:ind w:firstLine="420"/>
        <w:spacing w:line="360" w:lineRule="auto"/>
        <w:shd w:val="clear" w:color="auto" w:fill="ffffff"/>
        <w:widowControl/>
        <w:rPr>
          <w:rFonts w:hint="eastAsia" w:hAnsi="宋体"/>
          <w:b/>
          <w:bCs w:val="0"/>
          <w:szCs w:val="21"/>
          <w:highlight w:val="none"/>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
          <w:bCs w:val="0"/>
          <w:szCs w:val="21"/>
          <w:highlight w:val="none"/>
        </w:rPr>
        <w:t xml:space="preserve">实质性要求是指本招标文件中用带星号（“★”）的商务和技术要求。</w:t>
      </w:r>
      <w:r>
        <w:rPr>
          <w:rFonts w:hint="eastAsia" w:hAnsi="宋体"/>
          <w:b/>
          <w:bCs w:val="0"/>
          <w:szCs w:val="21"/>
          <w:highlight w:val="none"/>
        </w:rPr>
      </w:r>
      <w:r/>
    </w:p>
    <w:p>
      <w:pPr>
        <w:pStyle w:val="842"/>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rPr>
          <w:rFonts w:hint="eastAsia" w:hAnsi="宋体"/>
          <w:bCs/>
          <w:szCs w:val="21"/>
          <w:highlight w:val="none"/>
        </w:rPr>
      </w:r>
      <w:r/>
    </w:p>
    <w:p>
      <w:pPr>
        <w:pStyle w:val="842"/>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rPr>
          <w:rFonts w:hint="eastAsia" w:hAnsi="宋体"/>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19.3.3.1投标文件正本与副本不符的，以正本为准。</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hAnsi="宋体"/>
          <w:bCs/>
          <w:szCs w:val="21"/>
          <w:highlight w:val="none"/>
        </w:rPr>
        <w:t xml:space="preserve">（1）投</w:t>
      </w:r>
      <w:r>
        <w:rPr>
          <w:rFonts w:hint="eastAsia" w:ascii="宋体" w:hAnsi="宋体" w:cs="Arial"/>
          <w:bCs/>
          <w:szCs w:val="21"/>
          <w:highlight w:val="none"/>
        </w:rPr>
        <w:t xml:space="preserve">标文件中开标一览表（报价表）内容与投标文件中相应内容不一致的，以开标一览表（报价表）为准；</w:t>
      </w:r>
      <w:r>
        <w:rPr>
          <w:rFonts w:hint="eastAsia" w:ascii="宋体" w:hAnsi="宋体" w:cs="Arial"/>
          <w:bCs/>
          <w:szCs w:val="21"/>
          <w:highlight w:val="none"/>
        </w:rPr>
      </w:r>
      <w:r/>
    </w:p>
    <w:p>
      <w:pPr>
        <w:pStyle w:val="842"/>
        <w:ind w:firstLine="426"/>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（2）大写金额和小写金额不一致的，以大写金额为准；</w:t>
      </w:r>
      <w:r>
        <w:rPr>
          <w:rFonts w:hint="eastAsia" w:ascii="宋体" w:hAnsi="宋体" w:cs="Arial"/>
          <w:bCs/>
          <w:szCs w:val="21"/>
          <w:highlight w:val="none"/>
        </w:rPr>
      </w:r>
      <w:r/>
    </w:p>
    <w:p>
      <w:pPr>
        <w:pStyle w:val="842"/>
        <w:ind w:firstLine="426"/>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（3）单价金额小数点或者百分比有明显错位的，以开标一览表的总价为准，并修改单价；</w:t>
      </w:r>
      <w:r>
        <w:rPr>
          <w:rFonts w:hint="eastAsia" w:ascii="宋体" w:hAnsi="宋体" w:cs="Arial"/>
          <w:bCs/>
          <w:szCs w:val="21"/>
          <w:highlight w:val="none"/>
        </w:rPr>
      </w:r>
      <w:r/>
    </w:p>
    <w:p>
      <w:pPr>
        <w:pStyle w:val="842"/>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（4）总价金额与按单价汇总金额不一致的，以单价金额计算结果为准。</w:t>
      </w:r>
      <w:r>
        <w:rPr>
          <w:rFonts w:hint="eastAsia" w:hAnsi="宋体"/>
          <w:bCs/>
          <w:szCs w:val="21"/>
          <w:highlight w:val="none"/>
        </w:rPr>
      </w:r>
      <w:r/>
    </w:p>
    <w:p>
      <w:pPr>
        <w:pStyle w:val="842"/>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hint="eastAsia" w:hAnsi="宋体"/>
          <w:bCs/>
          <w:szCs w:val="21"/>
          <w:highlight w:val="none"/>
        </w:rPr>
      </w:r>
      <w:r/>
    </w:p>
    <w:p>
      <w:pPr>
        <w:pStyle w:val="842"/>
        <w:ind w:firstLine="420"/>
        <w:spacing w:line="360" w:lineRule="auto"/>
        <w:rPr>
          <w:rFonts w:hint="eastAsia" w:ascii="宋体" w:hAnsi="宋体" w:cs="Arial"/>
          <w:b/>
          <w:bCs w:val="0"/>
          <w:szCs w:val="21"/>
          <w:highlight w:val="none"/>
        </w:rPr>
      </w:pPr>
      <w:r>
        <w:rPr>
          <w:rFonts w:hint="eastAsia" w:ascii="宋体" w:hAnsi="宋体" w:cs="Arial"/>
          <w:b/>
          <w:bCs w:val="0"/>
          <w:szCs w:val="21"/>
          <w:highlight w:val="none"/>
        </w:rPr>
        <w:t xml:space="preserve">19.3.4异常低价投标审查</w:t>
      </w:r>
      <w:r>
        <w:rPr>
          <w:rFonts w:hint="eastAsia" w:ascii="宋体" w:hAnsi="宋体" w:cs="Arial"/>
          <w:b/>
          <w:bCs w:val="0"/>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评审过程中出现下列情形之一的，评标委员会应当启动异常低价投标审查程序：</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（3）投标（响应）报价低于采购项目最高限价45%的，即投标（响应）报价&lt;采购项目最高限价×45%；</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（4）评审委员会基于专业判断，认为供应商报价过低，有可能影响产品质量或者不能诚信履约的其他情形。</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异常低价投标（响应）审查的启动原因、审查意见和审查结果应当在评标报告中记录，并随供应商提供的相关书面说明及证明材料，以及评标委员会有关互联网浏览、查询历史一并归档。</w:t>
      </w:r>
      <w:r>
        <w:rPr>
          <w:rFonts w:hint="eastAsia" w:ascii="宋体" w:hAnsi="宋体" w:cs="Arial"/>
          <w:bCs/>
          <w:szCs w:val="21"/>
          <w:highlight w:val="none"/>
        </w:rPr>
      </w:r>
      <w:r/>
    </w:p>
    <w:p>
      <w:pPr>
        <w:pStyle w:val="842"/>
        <w:ind w:firstLine="420"/>
        <w:spacing w:line="360" w:lineRule="auto"/>
        <w:rPr>
          <w:rFonts w:hint="eastAsia"/>
          <w:szCs w:val="21"/>
          <w:highlight w:val="none"/>
        </w:rPr>
      </w:pPr>
      <w:r>
        <w:rPr>
          <w:rFonts w:hint="eastAsia" w:ascii="宋体" w:hAnsi="宋体" w:cs="Arial"/>
          <w:b/>
          <w:bCs w:val="0"/>
          <w:szCs w:val="21"/>
          <w:highlight w:val="none"/>
        </w:rPr>
        <w:t xml:space="preserve">19.3.5在评标期间，出现符合专业条件的供应商或者对招标文件做出实质响应的供应商不足三家情形的，此采购项目应予以废标。</w:t>
      </w:r>
      <w:r>
        <w:rPr>
          <w:rFonts w:hint="eastAsia" w:ascii="宋体" w:hAnsi="宋体" w:cs="Arial"/>
          <w:bCs/>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rPr>
          <w:rFonts w:hint="eastAsia"/>
          <w:szCs w:val="21"/>
          <w:highlight w:val="none"/>
        </w:rPr>
      </w:r>
      <w:r/>
    </w:p>
    <w:p>
      <w:pPr>
        <w:pStyle w:val="1043"/>
        <w:ind w:left="0" w:firstLine="422"/>
        <w:jc w:val="both"/>
        <w:spacing w:line="360" w:lineRule="auto"/>
        <w:tabs>
          <w:tab w:val="left" w:pos="480" w:leader="none"/>
        </w:tabs>
        <w:rPr>
          <w:rFonts w:hint="eastAsia" w:ascii="宋体" w:hAnsi="宋体" w:eastAsia="宋体" w:cs="Arial"/>
          <w:b/>
          <w:bCs/>
          <w:sz w:val="21"/>
          <w:szCs w:val="21"/>
          <w:highlight w:val="none"/>
        </w:rPr>
        <w:outlineLvl w:val="9"/>
      </w:pPr>
      <w:r/>
      <w:bookmarkEnd w:id="99"/>
      <w:r/>
      <w:bookmarkStart w:id="105" w:name="_Toc26857"/>
      <w:r/>
      <w:bookmarkStart w:id="106" w:name="_Toc13685"/>
      <w:r>
        <w:rPr>
          <w:rFonts w:hint="eastAsia" w:ascii="宋体" w:hAnsi="宋体" w:eastAsia="宋体" w:cs="Arial"/>
          <w:b/>
          <w:bCs/>
          <w:sz w:val="21"/>
          <w:szCs w:val="21"/>
          <w:highlight w:val="none"/>
        </w:rPr>
        <w:t xml:space="preserve">19.4投标文件的澄清</w:t>
      </w:r>
      <w:bookmarkEnd w:id="105"/>
      <w:r>
        <w:rPr>
          <w:rFonts w:hint="eastAsia" w:ascii="宋体" w:hAnsi="宋体" w:eastAsia="宋体" w:cs="Arial"/>
          <w:b/>
          <w:bCs/>
          <w:sz w:val="21"/>
          <w:szCs w:val="21"/>
          <w:highlight w:val="none"/>
        </w:rPr>
        <w:t xml:space="preserve">  </w:t>
      </w:r>
      <w:r>
        <w:rPr>
          <w:rFonts w:hint="eastAsia" w:ascii="宋体" w:hAnsi="宋体" w:eastAsia="宋体" w:cs="Arial"/>
          <w:b/>
          <w:bCs/>
          <w:sz w:val="21"/>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r>
        <w:rPr>
          <w:rFonts w:hint="eastAsia" w:ascii="宋体" w:hAnsi="宋体" w:cs="Arial"/>
          <w:bCs/>
          <w:szCs w:val="21"/>
          <w:highlight w:val="none"/>
        </w:rPr>
      </w:r>
      <w:r/>
    </w:p>
    <w:p>
      <w:pPr>
        <w:pStyle w:val="842"/>
        <w:ind w:firstLine="424"/>
        <w:spacing w:line="360" w:lineRule="auto"/>
        <w:tabs>
          <w:tab w:val="left" w:pos="1365" w:leader="none"/>
        </w:tabs>
        <w:rPr>
          <w:rFonts w:hint="eastAsia" w:ascii="宋体" w:hAnsi="宋体" w:cs="Arial"/>
          <w:b/>
          <w:bCs/>
          <w:szCs w:val="21"/>
          <w:highlight w:val="none"/>
        </w:rPr>
      </w:pPr>
      <w:r/>
      <w:bookmarkEnd w:id="106"/>
      <w:r>
        <w:rPr>
          <w:rFonts w:hint="eastAsia" w:ascii="宋体" w:hAnsi="宋体" w:cs="Arial"/>
          <w:b/>
          <w:bCs/>
          <w:szCs w:val="21"/>
          <w:highlight w:val="none"/>
        </w:rPr>
        <w:t xml:space="preserve">19.5比较与评价</w:t>
      </w:r>
      <w:r>
        <w:rPr>
          <w:rFonts w:hint="eastAsia" w:ascii="宋体" w:hAnsi="宋体" w:cs="Arial"/>
          <w:b/>
          <w:bCs/>
          <w:szCs w:val="21"/>
          <w:highlight w:val="none"/>
        </w:rPr>
      </w:r>
      <w:r/>
    </w:p>
    <w:p>
      <w:pPr>
        <w:pStyle w:val="842"/>
        <w:ind w:firstLine="420"/>
        <w:spacing w:line="360" w:lineRule="auto"/>
        <w:tabs>
          <w:tab w:val="left" w:pos="1365" w:leader="none"/>
        </w:tabs>
        <w:rPr>
          <w:rFonts w:hint="eastAsia"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rPr>
          <w:rFonts w:hint="eastAsia" w:ascii="宋体" w:hAnsi="宋体" w:cs="Arial"/>
          <w:bCs/>
          <w:szCs w:val="21"/>
          <w:highlight w:val="none"/>
        </w:rPr>
      </w:r>
      <w:r/>
    </w:p>
    <w:p>
      <w:pPr>
        <w:pStyle w:val="842"/>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rPr>
          <w:rFonts w:hint="eastAsia" w:ascii="宋体" w:hAnsi="宋体" w:cs="宋体"/>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19.5.5评标方法和评标标准详见文件第三章。</w:t>
      </w:r>
      <w:r>
        <w:rPr>
          <w:rFonts w:hint="eastAsia" w:ascii="宋体" w:hAnsi="宋体" w:cs="Arial"/>
          <w:bCs/>
          <w:szCs w:val="21"/>
          <w:highlight w:val="none"/>
        </w:rPr>
      </w:r>
      <w:r/>
    </w:p>
    <w:p>
      <w:pPr>
        <w:pStyle w:val="842"/>
        <w:ind w:firstLine="420"/>
        <w:spacing w:line="360" w:lineRule="auto"/>
        <w:rPr>
          <w:rFonts w:ascii="宋体" w:hAnsi="宋体" w:cs="Arial"/>
          <w:bCs/>
          <w:szCs w:val="21"/>
          <w:highlight w:val="none"/>
        </w:rPr>
      </w:pPr>
      <w:r>
        <w:rPr>
          <w:rFonts w:hint="eastAsia" w:ascii="宋体" w:hAnsi="宋体" w:cs="Arial"/>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Arial"/>
          <w:bCs/>
          <w:szCs w:val="21"/>
          <w:highlight w:val="none"/>
        </w:rPr>
      </w:r>
      <w:r/>
    </w:p>
    <w:p>
      <w:pPr>
        <w:pStyle w:val="842"/>
        <w:ind w:firstLine="424"/>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rPr>
          <w:rFonts w:hint="eastAsia" w:ascii="宋体" w:hAnsi="宋体" w:cs="Arial"/>
          <w:b/>
          <w:bCs/>
          <w:szCs w:val="21"/>
          <w:highlight w:val="none"/>
        </w:rPr>
      </w:r>
      <w:r/>
    </w:p>
    <w:p>
      <w:pPr>
        <w:pStyle w:val="842"/>
        <w:ind w:firstLine="420"/>
        <w:jc w:val="left"/>
        <w:spacing w:line="360" w:lineRule="auto"/>
        <w:shd w:val="clear" w:color="auto" w:fill="ffffff"/>
        <w:widowControl/>
        <w:tabs>
          <w:tab w:val="left" w:pos="767" w:leader="none"/>
        </w:tabs>
        <w:rPr>
          <w:rFonts w:hint="eastAsia" w:hAnsi="宋体"/>
          <w:szCs w:val="21"/>
          <w:highlight w:val="none"/>
        </w:rPr>
      </w:pPr>
      <w:r>
        <w:rPr>
          <w:rFonts w:hint="eastAsia" w:hAnsi="宋体"/>
          <w:szCs w:val="21"/>
          <w:highlight w:val="none"/>
        </w:rPr>
        <w:t xml:space="preserve">（1）投标人在苏采云系统规定的时间内未成功解密电子投标文件的。</w:t>
      </w:r>
      <w:r>
        <w:rPr>
          <w:rFonts w:hint="eastAsia" w:hAnsi="宋体"/>
          <w:szCs w:val="21"/>
          <w:highlight w:val="none"/>
        </w:rPr>
      </w:r>
      <w:r/>
    </w:p>
    <w:p>
      <w:pPr>
        <w:pStyle w:val="842"/>
        <w:ind w:firstLine="420"/>
        <w:jc w:val="left"/>
        <w:spacing w:line="360" w:lineRule="auto"/>
        <w:shd w:val="clear" w:color="auto" w:fill="ffffff"/>
        <w:widowControl/>
        <w:tabs>
          <w:tab w:val="left" w:pos="767" w:leader="none"/>
        </w:tabs>
        <w:rPr>
          <w:rFonts w:hint="eastAsia"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rPr>
          <w:rFonts w:hint="eastAsia" w:hAnsi="宋体"/>
          <w:szCs w:val="21"/>
          <w:highlight w:val="none"/>
        </w:rPr>
      </w:r>
      <w:r/>
    </w:p>
    <w:p>
      <w:pPr>
        <w:pStyle w:val="842"/>
        <w:ind w:firstLine="420"/>
        <w:jc w:val="left"/>
        <w:spacing w:line="360" w:lineRule="auto"/>
        <w:shd w:val="clear" w:color="auto" w:fill="ffffff"/>
        <w:widowControl/>
        <w:rPr>
          <w:rFonts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rPr>
          <w:rFonts w:hAnsi="宋体"/>
          <w:szCs w:val="21"/>
          <w:highlight w:val="none"/>
        </w:rPr>
      </w:r>
      <w:r/>
    </w:p>
    <w:p>
      <w:pPr>
        <w:pStyle w:val="842"/>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rPr>
          <w:szCs w:val="21"/>
          <w:highlight w:val="none"/>
        </w:rPr>
      </w:r>
      <w:r/>
    </w:p>
    <w:p>
      <w:pPr>
        <w:pStyle w:val="842"/>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5</w:t>
      </w:r>
      <w:r>
        <w:rPr>
          <w:rFonts w:hAnsi="宋体"/>
          <w:szCs w:val="21"/>
          <w:highlight w:val="none"/>
        </w:rPr>
        <w:t xml:space="preserve">）报价超过招标文件中规定的预算金额或者最高限价的；</w:t>
      </w:r>
      <w:r>
        <w:rPr>
          <w:szCs w:val="21"/>
          <w:highlight w:val="none"/>
        </w:rPr>
      </w:r>
      <w:r/>
    </w:p>
    <w:p>
      <w:pPr>
        <w:pStyle w:val="842"/>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6</w:t>
      </w:r>
      <w:r>
        <w:rPr>
          <w:rFonts w:hAnsi="宋体"/>
          <w:szCs w:val="21"/>
          <w:highlight w:val="none"/>
        </w:rPr>
        <w:t xml:space="preserve">）投标文件含有采购人不能接受的附加条件的；</w:t>
      </w:r>
      <w:r>
        <w:rPr>
          <w:szCs w:val="21"/>
          <w:highlight w:val="none"/>
        </w:rPr>
      </w:r>
      <w:r/>
    </w:p>
    <w:p>
      <w:pPr>
        <w:pStyle w:val="842"/>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rPr>
          <w:szCs w:val="21"/>
          <w:highlight w:val="none"/>
        </w:rPr>
      </w:r>
      <w:r/>
    </w:p>
    <w:p>
      <w:pPr>
        <w:pStyle w:val="842"/>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rPr>
          <w:szCs w:val="21"/>
          <w:highlight w:val="none"/>
        </w:rPr>
      </w:r>
      <w:r/>
    </w:p>
    <w:p>
      <w:pPr>
        <w:pStyle w:val="842"/>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rPr>
          <w:szCs w:val="21"/>
          <w:highlight w:val="none"/>
        </w:rPr>
      </w:r>
      <w:r/>
    </w:p>
    <w:p>
      <w:pPr>
        <w:pStyle w:val="842"/>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10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rPr>
          <w:szCs w:val="21"/>
          <w:highlight w:val="none"/>
        </w:rPr>
      </w:r>
      <w:r/>
    </w:p>
    <w:p>
      <w:pPr>
        <w:pStyle w:val="842"/>
        <w:ind w:firstLine="420"/>
        <w:jc w:val="left"/>
        <w:spacing w:line="360" w:lineRule="auto"/>
        <w:shd w:val="clear" w:color="auto" w:fill="ffffff"/>
        <w:widowControl/>
        <w:rPr>
          <w:rFonts w:hint="eastAsia" w:hAnsi="宋体" w:eastAsia="宋体"/>
          <w:szCs w:val="21"/>
          <w:highlight w:val="none"/>
          <w:lang w:val="en-US" w:eastAsia="zh-CN"/>
        </w:rPr>
      </w:pPr>
      <w:r>
        <w:rPr>
          <w:rFonts w:hAnsi="宋体"/>
          <w:szCs w:val="21"/>
          <w:highlight w:val="none"/>
        </w:rPr>
        <w:t xml:space="preserve">（</w:t>
      </w:r>
      <w:r>
        <w:rPr>
          <w:rFonts w:hint="eastAsia" w:hAnsi="宋体"/>
          <w:szCs w:val="21"/>
          <w:highlight w:val="none"/>
        </w:rPr>
        <w:t xml:space="preserve">11</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rPr>
          <w:rFonts w:hint="eastAsia" w:hAnsi="宋体"/>
          <w:szCs w:val="21"/>
          <w:highlight w:val="none"/>
          <w:lang w:val="en-US" w:eastAsia="zh-CN"/>
        </w:rPr>
        <w:t xml:space="preserve"> </w:t>
      </w:r>
      <w:r>
        <w:rPr>
          <w:rFonts w:hint="eastAsia" w:hAnsi="宋体" w:eastAsia="宋体"/>
          <w:szCs w:val="21"/>
          <w:highlight w:val="none"/>
          <w:lang w:val="en-US" w:eastAsia="zh-CN"/>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12</w:t>
      </w:r>
      <w:r>
        <w:rPr>
          <w:rFonts w:hint="eastAsia" w:ascii="宋体" w:hAnsi="宋体" w:cs="Arial"/>
          <w:bCs/>
          <w:szCs w:val="21"/>
          <w:highlight w:val="none"/>
          <w:lang w:eastAsia="zh-CN"/>
        </w:rPr>
        <w:t xml:space="preserve">）</w:t>
      </w:r>
      <w:r>
        <w:rPr>
          <w:rFonts w:hint="eastAsia" w:ascii="宋体" w:hAnsi="宋体" w:cs="Arial"/>
          <w:bCs/>
          <w:szCs w:val="21"/>
          <w:highlight w:val="none"/>
        </w:rPr>
        <w:t xml:space="preserve">不同供应商的负责人为同一人或者存在控股、管理关系的；</w:t>
      </w:r>
      <w:r>
        <w:rPr>
          <w:rFonts w:hint="eastAsia" w:ascii="宋体" w:hAnsi="宋体" w:cs="Arial"/>
          <w:bCs/>
          <w:szCs w:val="21"/>
          <w:highlight w:val="none"/>
        </w:rPr>
      </w:r>
      <w:r/>
    </w:p>
    <w:p>
      <w:pPr>
        <w:pStyle w:val="842"/>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3</w:t>
      </w:r>
      <w:r>
        <w:rPr>
          <w:rFonts w:hint="eastAsia" w:ascii="宋体" w:hAnsi="宋体" w:cs="Arial"/>
          <w:bCs/>
          <w:szCs w:val="21"/>
          <w:highlight w:val="none"/>
        </w:rPr>
        <w:t xml:space="preserve">）不同供应商的委托代理人(或法定代表人、项目经理、项目总监、项目负责人等)在招标文件发布日上月至投标截止日当月在同一单位缴纳社会保险的；</w:t>
      </w:r>
      <w:r>
        <w:rPr>
          <w:rFonts w:hint="eastAsia" w:ascii="宋体" w:hAnsi="宋体" w:cs="Arial"/>
          <w:bCs/>
          <w:szCs w:val="21"/>
          <w:highlight w:val="none"/>
        </w:rPr>
      </w:r>
      <w:r/>
    </w:p>
    <w:p>
      <w:pPr>
        <w:pStyle w:val="842"/>
        <w:ind w:firstLine="420"/>
        <w:jc w:val="left"/>
        <w:spacing w:line="360" w:lineRule="auto"/>
        <w:shd w:val="clear" w:color="auto" w:fill="ffffff"/>
        <w:widowControl/>
        <w:rPr>
          <w:rFonts w:hAnsi="宋体"/>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4</w:t>
      </w:r>
      <w:r>
        <w:rPr>
          <w:rFonts w:hAnsi="宋体"/>
          <w:szCs w:val="21"/>
          <w:highlight w:val="none"/>
        </w:rPr>
        <w:t xml:space="preserve">）提供虚假材料的（包括工商营业执照、财务报表、资格证明文件等）；</w:t>
      </w:r>
      <w:r>
        <w:rPr>
          <w:rFonts w:hAnsi="宋体"/>
          <w:szCs w:val="21"/>
          <w:highlight w:val="none"/>
        </w:rPr>
      </w:r>
      <w:r/>
    </w:p>
    <w:p>
      <w:pPr>
        <w:pStyle w:val="842"/>
        <w:ind w:firstLine="420"/>
        <w:spacing w:line="360" w:lineRule="auto"/>
        <w:rPr>
          <w:szCs w:val="21"/>
          <w:highlight w:val="none"/>
        </w:rPr>
      </w:pPr>
      <w:r>
        <w:rPr>
          <w:rFonts w:ascii="宋体" w:hAnsi="宋体" w:cs="Arial"/>
          <w:bCs/>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5</w:t>
      </w:r>
      <w:r>
        <w:rPr>
          <w:rFonts w:ascii="宋体" w:hAnsi="宋体" w:cs="Arial"/>
          <w:bCs/>
          <w:szCs w:val="21"/>
          <w:highlight w:val="none"/>
        </w:rPr>
        <w:t xml:space="preserve">）未通过符合性检查的；</w:t>
      </w:r>
      <w:r>
        <w:rPr>
          <w:szCs w:val="21"/>
          <w:highlight w:val="none"/>
        </w:rPr>
      </w:r>
      <w:r/>
    </w:p>
    <w:p>
      <w:pPr>
        <w:pStyle w:val="842"/>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6</w:t>
      </w:r>
      <w:r>
        <w:rPr>
          <w:rFonts w:hAnsi="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szCs w:val="21"/>
          <w:highlight w:val="none"/>
        </w:rPr>
        <w:t xml:space="preserve">规定的回复</w:t>
      </w:r>
      <w:r>
        <w:rPr>
          <w:rFonts w:hAnsi="宋体"/>
          <w:szCs w:val="21"/>
          <w:highlight w:val="none"/>
        </w:rPr>
        <w:t xml:space="preserve">时间内</w:t>
      </w:r>
      <w:r>
        <w:rPr>
          <w:rFonts w:hint="eastAsia" w:hAnsi="宋体"/>
          <w:szCs w:val="21"/>
          <w:highlight w:val="none"/>
        </w:rPr>
        <w:t xml:space="preserve">通过“苏采云”系统作出必要的说明</w:t>
      </w:r>
      <w:r>
        <w:rPr>
          <w:rFonts w:hAnsi="宋体"/>
          <w:szCs w:val="21"/>
          <w:highlight w:val="none"/>
        </w:rPr>
        <w:t xml:space="preserve">证明其报价合理性的；</w:t>
      </w:r>
      <w:r>
        <w:rPr>
          <w:szCs w:val="21"/>
          <w:highlight w:val="none"/>
        </w:rPr>
      </w:r>
      <w:r/>
    </w:p>
    <w:p>
      <w:pPr>
        <w:pStyle w:val="842"/>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7</w:t>
      </w:r>
      <w:r>
        <w:rPr>
          <w:rFonts w:hAnsi="宋体"/>
          <w:szCs w:val="21"/>
          <w:highlight w:val="none"/>
        </w:rPr>
        <w:t xml:space="preserve">）不符合招标文件中规定的其它实质性要求的；</w:t>
      </w:r>
      <w:r>
        <w:rPr>
          <w:szCs w:val="21"/>
          <w:highlight w:val="none"/>
        </w:rPr>
      </w:r>
      <w:r/>
    </w:p>
    <w:p>
      <w:pPr>
        <w:pStyle w:val="842"/>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w:t>
      </w:r>
      <w:r>
        <w:rPr>
          <w:rFonts w:hint="eastAsia" w:ascii="宋体" w:hAnsi="宋体" w:cs="Arial"/>
          <w:bCs/>
          <w:szCs w:val="21"/>
          <w:highlight w:val="none"/>
          <w:lang w:val="en-US" w:eastAsia="zh-CN"/>
        </w:rPr>
        <w:t xml:space="preserve">8</w:t>
      </w:r>
      <w:r>
        <w:rPr>
          <w:rFonts w:hAnsi="宋体"/>
          <w:szCs w:val="21"/>
          <w:highlight w:val="none"/>
        </w:rPr>
        <w:t xml:space="preserve">）法律、法规和招标文件规定的其他无效情形。</w:t>
      </w:r>
      <w:r>
        <w:rPr>
          <w:szCs w:val="21"/>
          <w:highlight w:val="none"/>
        </w:rPr>
      </w:r>
      <w:r/>
    </w:p>
    <w:p>
      <w:pPr>
        <w:pStyle w:val="842"/>
        <w:ind w:firstLine="42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b/>
          <w:bCs/>
          <w:szCs w:val="21"/>
          <w:highlight w:val="none"/>
        </w:rPr>
        <w:t xml:space="preserve"> </w:t>
      </w:r>
      <w:r>
        <w:rPr>
          <w:rFonts w:hAnsi="宋体"/>
          <w:b/>
          <w:szCs w:val="21"/>
          <w:highlight w:val="none"/>
        </w:rPr>
        <w:t xml:space="preserve">出现下列情形之一的，应予废标：</w:t>
      </w:r>
      <w:r>
        <w:rPr>
          <w:b/>
          <w:szCs w:val="21"/>
          <w:highlight w:val="none"/>
        </w:rPr>
      </w:r>
      <w:r/>
    </w:p>
    <w:p>
      <w:pPr>
        <w:pStyle w:val="842"/>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1</w:t>
      </w:r>
      <w:r>
        <w:rPr>
          <w:rFonts w:hAnsi="宋体"/>
          <w:szCs w:val="21"/>
          <w:highlight w:val="none"/>
        </w:rPr>
        <w:t xml:space="preserve">）符合专业条件的供应商或者对招标文件作实质响应的供应商不足三家的；</w:t>
      </w:r>
      <w:r>
        <w:rPr>
          <w:szCs w:val="21"/>
          <w:highlight w:val="none"/>
        </w:rPr>
      </w:r>
      <w:r/>
    </w:p>
    <w:p>
      <w:pPr>
        <w:pStyle w:val="842"/>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2</w:t>
      </w:r>
      <w:r>
        <w:rPr>
          <w:rFonts w:hAnsi="宋体"/>
          <w:szCs w:val="21"/>
          <w:highlight w:val="none"/>
        </w:rPr>
        <w:t xml:space="preserve">）出现影响采购公正的违法、违规行为的；</w:t>
      </w:r>
      <w:r>
        <w:rPr>
          <w:szCs w:val="21"/>
          <w:highlight w:val="none"/>
        </w:rPr>
      </w:r>
      <w:r/>
    </w:p>
    <w:p>
      <w:pPr>
        <w:pStyle w:val="842"/>
        <w:ind w:firstLine="42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szCs w:val="21"/>
          <w:highlight w:val="none"/>
        </w:rPr>
        <w:t xml:space="preserve">3</w:t>
      </w:r>
      <w:r>
        <w:rPr>
          <w:rFonts w:hAnsi="宋体"/>
          <w:szCs w:val="21"/>
          <w:highlight w:val="none"/>
        </w:rPr>
        <w:t xml:space="preserve">）因重大变故，采购任务取消的</w:t>
      </w:r>
      <w:r>
        <w:rPr>
          <w:rFonts w:hint="eastAsia" w:hAnsi="宋体"/>
          <w:szCs w:val="21"/>
          <w:highlight w:val="none"/>
        </w:rPr>
        <w:t xml:space="preserve">；</w:t>
      </w:r>
      <w:r>
        <w:rPr>
          <w:rFonts w:hint="eastAsia" w:hAnsi="宋体"/>
          <w:szCs w:val="21"/>
          <w:highlight w:val="none"/>
        </w:rPr>
      </w:r>
      <w:r/>
    </w:p>
    <w:p>
      <w:pPr>
        <w:pStyle w:val="842"/>
        <w:ind w:firstLine="420"/>
        <w:spacing w:line="360" w:lineRule="auto"/>
        <w:rPr>
          <w:szCs w:val="21"/>
          <w:highlight w:val="none"/>
        </w:rPr>
      </w:pPr>
      <w:r>
        <w:rPr>
          <w:rFonts w:ascii="Arial" w:hAnsi="Arial" w:cs="Arial"/>
          <w:bCs/>
          <w:szCs w:val="21"/>
          <w:highlight w:val="none"/>
        </w:rPr>
        <w:t xml:space="preserve">（4）</w:t>
      </w:r>
      <w:r>
        <w:rPr>
          <w:rFonts w:hint="eastAsia" w:ascii="Arial" w:hAnsi="Arial" w:cs="Arial"/>
          <w:bCs/>
          <w:szCs w:val="21"/>
          <w:highlight w:val="none"/>
        </w:rPr>
        <w:t xml:space="preserve">评标委员会认定招标文件存在歧义、重大缺陷</w:t>
      </w:r>
      <w:r>
        <w:rPr>
          <w:rFonts w:ascii="Arial" w:hAnsi="Arial" w:cs="Arial"/>
          <w:bCs/>
          <w:szCs w:val="21"/>
          <w:highlight w:val="none"/>
        </w:rPr>
        <w:t xml:space="preserve">导致评审工作无法进行的</w:t>
      </w:r>
      <w:r>
        <w:rPr>
          <w:rFonts w:hint="eastAsia" w:ascii="Arial" w:hAnsi="Arial" w:cs="Arial"/>
          <w:bCs/>
          <w:szCs w:val="21"/>
          <w:highlight w:val="none"/>
        </w:rPr>
        <w:t xml:space="preserve">，或者招标文件内容违反国家有关强制性规定的</w:t>
      </w:r>
      <w:r>
        <w:rPr>
          <w:rFonts w:ascii="Arial" w:hAnsi="Arial" w:cs="Arial"/>
          <w:bCs/>
          <w:szCs w:val="21"/>
          <w:highlight w:val="none"/>
        </w:rPr>
        <w:t xml:space="preserve">。</w:t>
      </w:r>
      <w:r>
        <w:rPr>
          <w:szCs w:val="21"/>
          <w:highlight w:val="none"/>
        </w:rPr>
      </w:r>
      <w:r/>
    </w:p>
    <w:p>
      <w:pPr>
        <w:pStyle w:val="842"/>
        <w:ind w:firstLine="420"/>
        <w:jc w:val="left"/>
        <w:spacing w:line="360" w:lineRule="auto"/>
        <w:shd w:val="clear" w:color="auto" w:fill="ffffff"/>
        <w:widowControl/>
        <w:rPr>
          <w:rFonts w:hint="eastAsia"/>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r>
        <w:rPr>
          <w:rFonts w:hint="eastAsia"/>
          <w:szCs w:val="21"/>
          <w:highlight w:val="none"/>
        </w:rPr>
      </w:r>
      <w:r/>
    </w:p>
    <w:p>
      <w:pPr>
        <w:pStyle w:val="842"/>
        <w:ind w:firstLine="420"/>
        <w:spacing w:line="360" w:lineRule="auto"/>
        <w:shd w:val="clear" w:color="auto" w:fill="ffffff"/>
        <w:widowControl/>
        <w:rPr>
          <w:rFonts w:ascii="宋体" w:hAnsi="宋体" w:cs="Arial"/>
          <w:b/>
          <w:bCs/>
          <w:color w:val="000000"/>
          <w:szCs w:val="21"/>
          <w:highlight w:val="none"/>
        </w:rPr>
        <w:outlineLvl w:val="1"/>
      </w:pPr>
      <w:r/>
      <w:bookmarkEnd w:id="100"/>
      <w:r/>
      <w:bookmarkEnd w:id="101"/>
      <w:r/>
      <w:bookmarkEnd w:id="102"/>
      <w:r/>
      <w:bookmarkEnd w:id="103"/>
      <w:r/>
      <w:bookmarkStart w:id="107" w:name="_Toc12294"/>
      <w:r/>
      <w:bookmarkStart w:id="108" w:name="_Toc18327"/>
      <w:r>
        <w:rPr>
          <w:rFonts w:ascii="宋体" w:hAnsi="宋体" w:cs="Arial"/>
          <w:b/>
          <w:bCs/>
          <w:color w:val="000000"/>
          <w:szCs w:val="21"/>
          <w:highlight w:val="none"/>
        </w:rPr>
        <w:t xml:space="preserve">六、授标</w:t>
      </w:r>
      <w:bookmarkEnd w:id="107"/>
      <w:r/>
      <w:bookmarkEnd w:id="108"/>
      <w:r>
        <w:rPr>
          <w:rFonts w:ascii="宋体" w:hAnsi="宋体" w:cs="Arial"/>
          <w:b/>
          <w:bCs/>
          <w:color w:val="000000"/>
          <w:szCs w:val="21"/>
          <w:highlight w:val="none"/>
        </w:rPr>
      </w:r>
      <w:r/>
    </w:p>
    <w:p>
      <w:pPr>
        <w:pStyle w:val="1043"/>
        <w:ind w:left="0" w:firstLine="422"/>
        <w:jc w:val="both"/>
        <w:spacing w:line="360" w:lineRule="auto"/>
        <w:tabs>
          <w:tab w:val="left" w:pos="480" w:leader="none"/>
        </w:tabs>
        <w:rPr>
          <w:rFonts w:hint="eastAsia" w:ascii="宋体" w:hAnsi="宋体" w:eastAsia="宋体" w:cs="Arial"/>
          <w:b/>
          <w:bCs/>
          <w:color w:val="000000"/>
          <w:sz w:val="21"/>
          <w:szCs w:val="21"/>
          <w:highlight w:val="none"/>
        </w:rPr>
        <w:outlineLvl w:val="9"/>
      </w:pPr>
      <w:r/>
      <w:bookmarkStart w:id="109" w:name="_Toc28693"/>
      <w:r/>
      <w:bookmarkStart w:id="110" w:name="_Toc27522"/>
      <w:r>
        <w:rPr>
          <w:rFonts w:hint="eastAsia" w:ascii="宋体" w:hAnsi="宋体" w:eastAsia="宋体" w:cs="Arial"/>
          <w:b/>
          <w:bCs/>
          <w:color w:val="000000"/>
          <w:sz w:val="21"/>
          <w:szCs w:val="21"/>
          <w:highlight w:val="none"/>
        </w:rPr>
        <w:t xml:space="preserve">20.确定中标</w:t>
      </w:r>
      <w:bookmarkEnd w:id="109"/>
      <w:r>
        <w:rPr>
          <w:rFonts w:hint="eastAsia" w:ascii="宋体" w:hAnsi="宋体" w:eastAsia="宋体" w:cs="Arial"/>
          <w:b/>
          <w:bCs/>
          <w:color w:val="000000"/>
          <w:sz w:val="21"/>
          <w:szCs w:val="21"/>
          <w:highlight w:val="none"/>
        </w:rPr>
        <w:t xml:space="preserve">供应商</w:t>
      </w:r>
      <w:bookmarkEnd w:id="110"/>
      <w:r/>
      <w:bookmarkStart w:id="111" w:name="_Toc7377"/>
      <w:r>
        <w:rPr>
          <w:rFonts w:hint="eastAsia" w:ascii="宋体" w:hAnsi="宋体" w:eastAsia="宋体" w:cs="Arial"/>
          <w:b/>
          <w:bCs/>
          <w:color w:val="000000"/>
          <w:sz w:val="21"/>
          <w:szCs w:val="21"/>
          <w:highlight w:val="none"/>
        </w:rPr>
      </w:r>
      <w:r/>
    </w:p>
    <w:p>
      <w:pPr>
        <w:pStyle w:val="842"/>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rPr>
          <w:rFonts w:hint="eastAsia" w:hAnsi="宋体"/>
          <w:szCs w:val="21"/>
          <w:highlight w:val="none"/>
        </w:rPr>
      </w:r>
      <w:r/>
    </w:p>
    <w:p>
      <w:pPr>
        <w:pStyle w:val="842"/>
        <w:ind w:firstLine="42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在南京公共采购信息网</w:t>
      </w:r>
      <w:r>
        <w:rPr>
          <w:rStyle w:val="898"/>
          <w:rFonts w:hint="eastAsia" w:cs="Arial"/>
          <w:szCs w:val="21"/>
          <w:highlight w:val="none"/>
        </w:rPr>
        <w:t xml:space="preserve">、</w:t>
      </w:r>
      <w:r>
        <w:rPr>
          <w:rFonts w:hAnsi="宋体"/>
          <w:szCs w:val="21"/>
          <w:highlight w:val="none"/>
        </w:rPr>
        <w:t xml:space="preserve">江苏省政府采购网上公告中标结果，中标公告期为</w:t>
      </w:r>
      <w:r>
        <w:rPr>
          <w:szCs w:val="21"/>
          <w:highlight w:val="none"/>
        </w:rPr>
        <w:t xml:space="preserve">1</w:t>
      </w:r>
      <w:r>
        <w:rPr>
          <w:rFonts w:hAnsi="宋体"/>
          <w:szCs w:val="21"/>
          <w:highlight w:val="none"/>
        </w:rPr>
        <w:t xml:space="preserve">个工作日，公告的同时向中标供应商发出中标通知书。</w:t>
      </w:r>
      <w:r>
        <w:rPr>
          <w:szCs w:val="21"/>
          <w:highlight w:val="none"/>
        </w:rPr>
      </w:r>
      <w:r/>
    </w:p>
    <w:p>
      <w:pPr>
        <w:pStyle w:val="842"/>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rPr>
          <w:rFonts w:hint="eastAsia" w:hAnsi="宋体"/>
          <w:szCs w:val="21"/>
          <w:highlight w:val="none"/>
        </w:rPr>
      </w:r>
      <w:r/>
    </w:p>
    <w:p>
      <w:pPr>
        <w:pStyle w:val="842"/>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20.4中标通知书对采购人和中标供应商具有同等法律效力。</w:t>
      </w:r>
      <w:r>
        <w:rPr>
          <w:rFonts w:hint="eastAsia" w:hAnsi="宋体"/>
          <w:szCs w:val="21"/>
          <w:highlight w:val="none"/>
        </w:rPr>
      </w:r>
      <w:r/>
    </w:p>
    <w:p>
      <w:pPr>
        <w:pStyle w:val="842"/>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rPr>
          <w:rFonts w:hint="eastAsia" w:hAnsi="宋体"/>
          <w:szCs w:val="21"/>
          <w:highlight w:val="none"/>
        </w:rPr>
      </w:r>
      <w:r/>
    </w:p>
    <w:p>
      <w:pPr>
        <w:pStyle w:val="842"/>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20.6 若评标委员会发现供应商的投标文件中有弄虚作假行为，则该供应商将失去中标资格。</w:t>
      </w:r>
      <w:r>
        <w:rPr>
          <w:rFonts w:hint="eastAsia" w:hAnsi="宋体"/>
          <w:szCs w:val="21"/>
          <w:highlight w:val="none"/>
        </w:rPr>
      </w:r>
      <w:r/>
    </w:p>
    <w:p>
      <w:pPr>
        <w:pStyle w:val="842"/>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rPr>
          <w:szCs w:val="21"/>
          <w:highlight w:val="none"/>
        </w:rPr>
      </w:r>
      <w:r/>
    </w:p>
    <w:p>
      <w:pPr>
        <w:pStyle w:val="842"/>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rPr>
          <w:szCs w:val="21"/>
          <w:highlight w:val="none"/>
        </w:rPr>
      </w:r>
      <w:r/>
    </w:p>
    <w:p>
      <w:pPr>
        <w:pStyle w:val="842"/>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rPr>
          <w:szCs w:val="21"/>
          <w:highlight w:val="none"/>
        </w:rPr>
      </w:r>
      <w:r/>
    </w:p>
    <w:p>
      <w:pPr>
        <w:pStyle w:val="842"/>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rPr>
          <w:szCs w:val="21"/>
          <w:highlight w:val="none"/>
        </w:rPr>
      </w:r>
      <w:r/>
    </w:p>
    <w:p>
      <w:pPr>
        <w:pStyle w:val="842"/>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rPr>
          <w:szCs w:val="21"/>
          <w:highlight w:val="none"/>
        </w:rPr>
      </w:r>
      <w:r/>
    </w:p>
    <w:p>
      <w:pPr>
        <w:pStyle w:val="842"/>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rPr>
          <w:rFonts w:hAnsi="宋体"/>
          <w:szCs w:val="21"/>
          <w:highlight w:val="none"/>
        </w:rPr>
      </w:r>
      <w:r/>
    </w:p>
    <w:p>
      <w:pPr>
        <w:pStyle w:val="842"/>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rPr>
          <w:rFonts w:hAnsi="宋体"/>
          <w:szCs w:val="21"/>
          <w:highlight w:val="none"/>
        </w:rPr>
      </w:r>
      <w:r/>
    </w:p>
    <w:p>
      <w:pPr>
        <w:pStyle w:val="842"/>
        <w:ind w:firstLine="420"/>
        <w:spacing w:line="360" w:lineRule="auto"/>
        <w:shd w:val="clear" w:color="auto" w:fill="ffffff"/>
        <w:widowControl/>
        <w:rPr>
          <w:rFonts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rPr>
          <w:rFonts w:hAnsi="宋体"/>
          <w:szCs w:val="21"/>
          <w:highlight w:val="none"/>
        </w:rPr>
      </w:r>
      <w:r/>
    </w:p>
    <w:p>
      <w:pPr>
        <w:pStyle w:val="842"/>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rPr>
          <w:szCs w:val="21"/>
          <w:highlight w:val="none"/>
        </w:rPr>
      </w:r>
      <w:r/>
    </w:p>
    <w:p>
      <w:pPr>
        <w:pStyle w:val="842"/>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szCs w:val="21"/>
          <w:highlight w:val="none"/>
        </w:rPr>
        <w:t xml:space="preserve"> </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szCs w:val="21"/>
          <w:highlight w:val="none"/>
        </w:rPr>
      </w:r>
      <w:r/>
    </w:p>
    <w:p>
      <w:pPr>
        <w:pStyle w:val="842"/>
        <w:ind w:firstLine="420"/>
        <w:spacing w:line="360" w:lineRule="auto"/>
        <w:shd w:val="clear" w:color="auto" w:fill="ffffff"/>
        <w:widowControl/>
        <w:rPr>
          <w:rFonts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szCs w:val="21"/>
          <w:highlight w:val="none"/>
        </w:rPr>
        <w:t xml:space="preserve"> </w:t>
      </w:r>
      <w:r>
        <w:rPr>
          <w:rFonts w:hAnsi="宋体"/>
          <w:szCs w:val="21"/>
          <w:highlight w:val="none"/>
        </w:rPr>
        <w:t xml:space="preserve">采购人与中标人应当根据合同的约定依法履行合同义务。</w:t>
      </w:r>
      <w:bookmarkEnd w:id="111"/>
      <w:r>
        <w:rPr>
          <w:rFonts w:hAnsi="宋体"/>
          <w:szCs w:val="21"/>
          <w:highlight w:val="none"/>
        </w:rPr>
      </w:r>
      <w:r/>
    </w:p>
    <w:p>
      <w:pPr>
        <w:pStyle w:val="842"/>
        <w:ind w:firstLine="420"/>
        <w:spacing w:line="360" w:lineRule="auto"/>
        <w:shd w:val="clear" w:color="auto" w:fill="ffffff"/>
        <w:widowControl/>
        <w:rPr>
          <w:rFonts w:hint="eastAsia" w:ascii="宋体" w:hAnsi="宋体" w:cs="Arial"/>
          <w:b/>
          <w:bCs/>
          <w:color w:val="000000"/>
          <w:szCs w:val="21"/>
          <w:highlight w:val="none"/>
        </w:rPr>
      </w:pPr>
      <w:r>
        <w:rPr>
          <w:rFonts w:hint="eastAsia"/>
          <w:b/>
          <w:bCs/>
          <w:szCs w:val="21"/>
          <w:highlight w:val="none"/>
        </w:rPr>
        <w:t xml:space="preserve">22.7 履约保证金：</w:t>
      </w:r>
      <w:bookmarkStart w:id="112" w:name="_Toc415"/>
      <w:r/>
      <w:bookmarkStart w:id="113" w:name="_Toc15509"/>
      <w:r>
        <w:rPr>
          <w:rFonts w:hint="eastAsia"/>
          <w:b w:val="0"/>
          <w:bCs w:val="0"/>
          <w:szCs w:val="21"/>
          <w:highlight w:val="none"/>
          <w:lang w:eastAsia="zh-CN"/>
        </w:rPr>
        <w:t xml:space="preserve">该项目签订合同时须向采购人缴纳合同总额的3%作为履约保证金，缴纳方式建议采用银行保函，质保期满无质量或服务问题无息退还；</w:t>
      </w:r>
      <w:r>
        <w:rPr>
          <w:rFonts w:hint="eastAsia" w:ascii="宋体" w:hAnsi="宋体" w:cs="Arial"/>
          <w:b/>
          <w:bCs/>
          <w:color w:val="000000"/>
          <w:szCs w:val="21"/>
          <w:highlight w:val="none"/>
        </w:rPr>
      </w:r>
      <w:r/>
    </w:p>
    <w:p>
      <w:pPr>
        <w:pStyle w:val="1043"/>
        <w:ind w:left="420" w:firstLine="0"/>
        <w:jc w:val="both"/>
        <w:spacing w:line="360" w:lineRule="auto"/>
        <w:tabs>
          <w:tab w:val="left" w:pos="480" w:leader="none"/>
        </w:tabs>
        <w:rPr>
          <w:rFonts w:hint="eastAsia" w:ascii="宋体" w:hAnsi="宋体" w:eastAsia="宋体" w:cs="Arial"/>
          <w:b/>
          <w:bCs/>
          <w:color w:val="000000"/>
          <w:sz w:val="21"/>
          <w:szCs w:val="21"/>
          <w:highlight w:val="none"/>
        </w:rPr>
        <w:outlineLvl w:val="9"/>
      </w:pPr>
      <w:r>
        <w:rPr>
          <w:rFonts w:hint="eastAsia" w:ascii="宋体" w:hAnsi="宋体" w:eastAsia="宋体" w:cs="Arial"/>
          <w:b/>
          <w:bCs/>
          <w:color w:val="000000"/>
          <w:sz w:val="21"/>
          <w:szCs w:val="21"/>
          <w:highlight w:val="none"/>
        </w:rPr>
        <w:t xml:space="preserve">23.招标代理服务费</w:t>
      </w:r>
      <w:bookmarkEnd w:id="112"/>
      <w:r/>
      <w:bookmarkEnd w:id="113"/>
      <w:r>
        <w:rPr>
          <w:rFonts w:hint="eastAsia" w:ascii="宋体" w:hAnsi="宋体" w:eastAsia="宋体" w:cs="Arial"/>
          <w:b/>
          <w:bCs/>
          <w:color w:val="000000"/>
          <w:sz w:val="21"/>
          <w:szCs w:val="21"/>
          <w:highlight w:val="none"/>
        </w:rPr>
      </w:r>
      <w:r/>
    </w:p>
    <w:p>
      <w:pPr>
        <w:pStyle w:val="842"/>
        <w:spacing w:line="360" w:lineRule="auto"/>
        <w:rPr>
          <w:rFonts w:hint="eastAsia" w:ascii="宋体" w:hAnsi="宋体"/>
          <w:szCs w:val="21"/>
          <w:highlight w:val="none"/>
          <w:lang w:val="zh-CN"/>
        </w:rPr>
      </w:pPr>
      <w:r>
        <w:rPr>
          <w:rFonts w:hint="eastAsia" w:ascii="宋体" w:hAnsi="宋体" w:cs="Arial"/>
          <w:bCs/>
          <w:szCs w:val="21"/>
          <w:highlight w:val="none"/>
        </w:rPr>
        <w:t xml:space="preserve">    </w:t>
      </w:r>
      <w:r>
        <w:rPr>
          <w:rFonts w:ascii="宋体" w:hAnsi="宋体" w:cs="Arial"/>
          <w:bCs/>
          <w:szCs w:val="21"/>
          <w:highlight w:val="none"/>
        </w:rPr>
        <w:t xml:space="preserve">2</w:t>
      </w:r>
      <w:r>
        <w:rPr>
          <w:rFonts w:hint="eastAsia" w:ascii="宋体" w:hAnsi="宋体" w:cs="Arial"/>
          <w:bCs/>
          <w:szCs w:val="21"/>
          <w:highlight w:val="none"/>
        </w:rPr>
        <w:t xml:space="preserve">3</w:t>
      </w:r>
      <w:r>
        <w:rPr>
          <w:rFonts w:ascii="宋体" w:hAnsi="宋体" w:cs="Arial"/>
          <w:bCs/>
          <w:szCs w:val="21"/>
          <w:highlight w:val="none"/>
        </w:rPr>
        <w:t xml:space="preserve">.1</w:t>
      </w:r>
      <w:r>
        <w:rPr>
          <w:rFonts w:hint="eastAsia" w:ascii="宋体" w:hAnsi="宋体" w:cs="Arial"/>
          <w:bCs/>
          <w:szCs w:val="21"/>
          <w:highlight w:val="none"/>
        </w:rPr>
        <w:t xml:space="preserve"> </w:t>
      </w:r>
      <w:r>
        <w:rPr>
          <w:rFonts w:hint="eastAsia" w:ascii="宋体" w:hAnsi="宋体"/>
          <w:szCs w:val="21"/>
          <w:highlight w:val="none"/>
          <w:lang w:val="zh-CN"/>
        </w:rPr>
        <w:t xml:space="preserve">领取中标通知时，中标人向采购代理机构一次性付清。</w:t>
      </w:r>
      <w:r>
        <w:rPr>
          <w:rFonts w:hint="eastAsia" w:ascii="宋体" w:hAnsi="宋体"/>
          <w:szCs w:val="21"/>
          <w:highlight w:val="none"/>
          <w:lang w:val="zh-CN"/>
        </w:rPr>
      </w:r>
      <w:r/>
    </w:p>
    <w:p>
      <w:pPr>
        <w:pStyle w:val="871"/>
        <w:ind w:firstLine="420"/>
        <w:spacing w:line="360" w:lineRule="auto"/>
        <w:rPr>
          <w:rFonts w:hint="eastAsia" w:hAnsi="宋体"/>
          <w:szCs w:val="21"/>
          <w:highlight w:val="none"/>
        </w:rPr>
      </w:pP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2</w:t>
      </w:r>
      <w:r>
        <w:rPr>
          <w:rFonts w:hAnsi="宋体"/>
          <w:szCs w:val="21"/>
          <w:highlight w:val="none"/>
        </w:rPr>
        <w:t xml:space="preserve">招标代理服务费：</w:t>
      </w:r>
      <w:r>
        <w:rPr>
          <w:rFonts w:hint="eastAsia" w:hAnsi="宋体"/>
          <w:szCs w:val="21"/>
          <w:highlight w:val="none"/>
        </w:rPr>
        <w:t xml:space="preserve">根据江苏省财政厅《关于进一步规范政府采购活动相关费用管理的通知》（苏财规〔2026〕1号）相关要求，为提高采购效率、简化资金支付流程，本项目</w:t>
      </w:r>
      <w:r>
        <w:rPr>
          <w:rFonts w:hint="eastAsia" w:hAnsi="宋体"/>
          <w:szCs w:val="21"/>
          <w:highlight w:val="none"/>
          <w:lang w:val="en-US" w:eastAsia="zh-CN"/>
        </w:rPr>
        <w:t xml:space="preserve">中标服务</w:t>
      </w:r>
      <w:r>
        <w:rPr>
          <w:rFonts w:hint="eastAsia" w:hAnsi="宋体"/>
          <w:szCs w:val="21"/>
          <w:highlight w:val="none"/>
        </w:rPr>
        <w:t xml:space="preserve">费由</w:t>
      </w:r>
      <w:r>
        <w:rPr>
          <w:rFonts w:hint="eastAsia" w:hAnsi="宋体"/>
          <w:szCs w:val="21"/>
          <w:highlight w:val="none"/>
          <w:lang w:val="en-US" w:eastAsia="zh-CN"/>
        </w:rPr>
        <w:t xml:space="preserve">中标</w:t>
      </w:r>
      <w:r>
        <w:rPr>
          <w:rFonts w:hint="eastAsia" w:hAnsi="宋体"/>
          <w:szCs w:val="21"/>
          <w:highlight w:val="none"/>
        </w:rPr>
        <w:t xml:space="preserve">供应商在领取成交通知书时，一次性支付至采购代理机构。代理费</w:t>
      </w:r>
      <w:r>
        <w:rPr>
          <w:rFonts w:hint="eastAsia" w:hAnsi="宋体"/>
          <w:szCs w:val="21"/>
          <w:highlight w:val="none"/>
          <w:lang w:val="en-US" w:eastAsia="zh-CN"/>
        </w:rPr>
        <w:t xml:space="preserve">按照中标金额的0.7%收取</w:t>
      </w:r>
      <w:r>
        <w:rPr>
          <w:rFonts w:hint="eastAsia" w:hAnsi="宋体"/>
          <w:szCs w:val="21"/>
          <w:highlight w:val="none"/>
        </w:rPr>
        <w:t xml:space="preserve">，计费基准为各分包最终</w:t>
      </w:r>
      <w:r>
        <w:rPr>
          <w:rFonts w:hint="eastAsia" w:hAnsi="宋体"/>
          <w:szCs w:val="21"/>
          <w:highlight w:val="none"/>
          <w:lang w:val="en-US" w:eastAsia="zh-CN"/>
        </w:rPr>
        <w:t xml:space="preserve">中标</w:t>
      </w:r>
      <w:r>
        <w:rPr>
          <w:rFonts w:hint="eastAsia" w:hAnsi="宋体"/>
          <w:szCs w:val="21"/>
          <w:highlight w:val="none"/>
        </w:rPr>
        <w:t xml:space="preserve">价格。</w:t>
      </w:r>
      <w:r>
        <w:rPr>
          <w:rFonts w:hint="eastAsia" w:hAnsi="宋体"/>
          <w:szCs w:val="21"/>
          <w:highlight w:val="none"/>
        </w:rPr>
      </w:r>
      <w:r/>
    </w:p>
    <w:p>
      <w:pPr>
        <w:pStyle w:val="871"/>
        <w:ind w:firstLine="420"/>
        <w:spacing w:line="360" w:lineRule="auto"/>
        <w:rPr>
          <w:rFonts w:hint="eastAsia" w:hAnsi="宋体" w:cs="Arial"/>
          <w:bCs/>
          <w:szCs w:val="21"/>
          <w:highlight w:val="none"/>
        </w:rPr>
      </w:pPr>
      <w:r>
        <w:rPr>
          <w:rFonts w:hint="eastAsia" w:hAnsi="宋体"/>
          <w:szCs w:val="21"/>
          <w:highlight w:val="none"/>
        </w:rPr>
        <w:t xml:space="preserve">本项费用已综合包含在供应商</w:t>
      </w:r>
      <w:r>
        <w:rPr>
          <w:rFonts w:hint="eastAsia" w:hAnsi="宋体"/>
          <w:szCs w:val="21"/>
          <w:highlight w:val="none"/>
          <w:lang w:val="en-US" w:eastAsia="zh-CN"/>
        </w:rPr>
        <w:t xml:space="preserve">投标</w:t>
      </w:r>
      <w:r>
        <w:rPr>
          <w:rFonts w:hint="eastAsia" w:hAnsi="宋体"/>
          <w:szCs w:val="21"/>
          <w:highlight w:val="none"/>
        </w:rPr>
        <w:t xml:space="preserve">报价内，不单独列项、不另行结算。各供应商在编制报价文件时，须足额测算、统筹将该项代理费纳入成本综合考量，因未合理预估该项费用所产生的损失与风险，均由供应商自行承担。</w:t>
      </w:r>
      <w:r>
        <w:rPr>
          <w:rFonts w:hint="eastAsia" w:hAnsi="宋体" w:cs="Arial"/>
          <w:bCs/>
          <w:szCs w:val="21"/>
          <w:highlight w:val="none"/>
        </w:rPr>
      </w:r>
      <w:r/>
    </w:p>
    <w:p>
      <w:pPr>
        <w:pStyle w:val="871"/>
        <w:spacing w:line="360" w:lineRule="auto"/>
        <w:rPr>
          <w:rFonts w:hint="eastAsia" w:hAnsi="宋体"/>
          <w:szCs w:val="21"/>
          <w:highlight w:val="none"/>
        </w:rPr>
      </w:pPr>
      <w:r>
        <w:rPr>
          <w:rFonts w:hint="eastAsia" w:hAnsi="宋体" w:cs="Arial"/>
          <w:bCs/>
          <w:szCs w:val="21"/>
          <w:highlight w:val="none"/>
        </w:rPr>
        <w:t xml:space="preserve">     </w:t>
      </w: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苏美达国际技术贸易有限公司</w:t>
      </w:r>
      <w:r>
        <w:rPr>
          <w:rFonts w:hint="eastAsia" w:hAnsi="宋体"/>
          <w:szCs w:val="21"/>
          <w:highlight w:val="none"/>
        </w:rPr>
      </w:r>
      <w:r/>
    </w:p>
    <w:p>
      <w:pPr>
        <w:pStyle w:val="871"/>
        <w:ind w:firstLine="840"/>
        <w:spacing w:line="360" w:lineRule="auto"/>
        <w:rPr>
          <w:rFonts w:hint="eastAsia" w:hAnsi="宋体"/>
          <w:szCs w:val="21"/>
          <w:highlight w:val="none"/>
        </w:rPr>
      </w:pPr>
      <w:r>
        <w:rPr>
          <w:rFonts w:hAnsi="宋体"/>
          <w:szCs w:val="21"/>
          <w:highlight w:val="none"/>
        </w:rPr>
        <w:t xml:space="preserve">账号：</w:t>
      </w:r>
      <w:r>
        <w:rPr>
          <w:rFonts w:hint="eastAsia" w:hAnsi="宋体"/>
          <w:szCs w:val="21"/>
          <w:highlight w:val="none"/>
        </w:rPr>
        <w:t xml:space="preserve">7321010182300013675　　　</w:t>
      </w:r>
      <w:r>
        <w:rPr>
          <w:rFonts w:hint="eastAsia" w:hAnsi="宋体"/>
          <w:szCs w:val="21"/>
          <w:highlight w:val="none"/>
        </w:rPr>
      </w:r>
      <w:r/>
    </w:p>
    <w:p>
      <w:pPr>
        <w:pStyle w:val="1041"/>
        <w:ind w:firstLine="840"/>
        <w:rPr>
          <w:rFonts w:hint="eastAsia"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中信南京分行营业部　</w:t>
      </w:r>
      <w:r>
        <w:rPr>
          <w:rFonts w:hint="eastAsia" w:ascii="宋体" w:hAnsi="宋体"/>
          <w:sz w:val="21"/>
          <w:highlight w:val="none"/>
        </w:rPr>
      </w:r>
      <w:r/>
    </w:p>
    <w:p>
      <w:pPr>
        <w:pStyle w:val="1041"/>
        <w:ind w:firstLine="840"/>
        <w:rPr>
          <w:rFonts w:hint="eastAsia" w:ascii="宋体" w:hAnsi="宋体" w:eastAsia="宋体"/>
          <w:sz w:val="21"/>
          <w:highlight w:val="none"/>
          <w:lang w:val="en-US" w:eastAsia="zh-CN"/>
        </w:rPr>
      </w:pPr>
      <w:r>
        <w:rPr>
          <w:rFonts w:hint="eastAsia" w:ascii="宋体" w:hAnsi="宋体"/>
          <w:sz w:val="21"/>
          <w:highlight w:val="none"/>
          <w:lang w:val="en-US" w:eastAsia="zh-CN"/>
        </w:rPr>
        <w:t xml:space="preserve">行号：302301003210</w:t>
      </w:r>
      <w:r>
        <w:rPr>
          <w:rFonts w:hint="eastAsia" w:ascii="宋体" w:hAnsi="宋体" w:eastAsia="宋体"/>
          <w:sz w:val="21"/>
          <w:highlight w:val="none"/>
          <w:lang w:val="en-US" w:eastAsia="zh-CN"/>
        </w:rPr>
      </w:r>
      <w:r/>
    </w:p>
    <w:p>
      <w:pPr>
        <w:pStyle w:val="842"/>
        <w:ind w:firstLine="420"/>
        <w:spacing w:line="360" w:lineRule="auto"/>
        <w:shd w:val="clear" w:color="auto" w:fill="ffffff"/>
        <w:widowControl/>
        <w:rPr>
          <w:rFonts w:ascii="宋体" w:hAnsi="宋体" w:cs="Arial"/>
          <w:b/>
          <w:bCs/>
          <w:color w:val="000000"/>
          <w:szCs w:val="21"/>
          <w:highlight w:val="none"/>
        </w:rPr>
        <w:outlineLvl w:val="1"/>
      </w:pPr>
      <w:r/>
      <w:bookmarkStart w:id="114" w:name="_Toc5784"/>
      <w:r>
        <w:rPr>
          <w:rFonts w:ascii="宋体" w:hAnsi="宋体" w:cs="Arial"/>
          <w:b/>
          <w:bCs/>
          <w:color w:val="000000"/>
          <w:szCs w:val="21"/>
          <w:highlight w:val="none"/>
        </w:rPr>
        <w:t xml:space="preserve">七、质疑</w:t>
      </w:r>
      <w:bookmarkEnd w:id="114"/>
      <w:r>
        <w:rPr>
          <w:rFonts w:ascii="宋体" w:hAnsi="宋体" w:cs="Arial"/>
          <w:b/>
          <w:bCs/>
          <w:color w:val="000000"/>
          <w:szCs w:val="21"/>
          <w:highlight w:val="none"/>
        </w:rPr>
        <w:t xml:space="preserve">和投诉</w:t>
      </w:r>
      <w:r>
        <w:rPr>
          <w:rFonts w:ascii="宋体" w:hAnsi="宋体" w:cs="Arial"/>
          <w:b/>
          <w:bCs/>
          <w:color w:val="000000"/>
          <w:szCs w:val="21"/>
          <w:highlight w:val="none"/>
        </w:rPr>
      </w:r>
      <w:r/>
    </w:p>
    <w:p>
      <w:pPr>
        <w:pStyle w:val="842"/>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rPr>
          <w:rFonts w:ascii="宋体" w:hAnsi="宋体"/>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 供应商认为招标文件、采购过程和中标结果使自己的合法权益受到损害的，可以在知道或者应当知道其权益受到损害之日起七个工作日内，以书面的形式（原件）向采购人或采购代理机构提出质疑。</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.4 供应商必须在法定质疑期内一次性提出针对同一采购程序环节的质疑。供应商如在法定期限内对同一采购程序环节提出多次质疑的，采购代理机构、采购人将只对供应商第一次质疑作出答复。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.5 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.6 质疑文件应包括以下主要内容，并按照“谁主张、谁举证”的原则，附上相关证明材料。否则，采购代理机构或采购人不予受理：</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（1）供应商的姓名或者名称、地址、邮编、联系人及联系电话；</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（2）质疑项目的名称、编号；</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（3）具体、明确的质疑事项和与质疑事项相关的请求（具体条款）；</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（4）事实依据（具体条款）；</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（5）必要的法律依据（具体条款）；</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（6）提出质疑的日期。</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.8 质疑函应当使用中文。相关当事人提供外文书证或者外国语视听资料的，应当附有中文译本，由翻译机构盖章或者翻译人员签名。</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.9 质疑函应当现场提交至采购代理机构或采购人联系人处，提交时应出示有效身份证明。未按上述要求提交质疑函的，质疑不予受理。</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.11 采购人或采购代理机构在收到供应商的书面质疑后在七个工作日内作出答复，并以书面形式通知质疑供应商和其他有关供应商，答复的内容不涉及商业秘密。</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 以下情形的质疑不予受理</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.12.1 内容不符合《政府采购质疑和投诉办法》第十二条规定的质疑。</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.12.2 超出政府采购法定期限的质疑。</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.12.3 以传真、电子邮件等方式递交的非原件形式的质疑。</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.12.4 未参加投标活动的供应商或在投标活动中自身权益未受到损害的供应商所提出的质疑。</w:t>
      </w:r>
      <w:r>
        <w:rPr>
          <w:rFonts w:hint="eastAsia" w:ascii="宋体" w:hAnsi="宋体"/>
          <w:bCs/>
          <w:szCs w:val="21"/>
          <w:highlight w:val="none"/>
        </w:rPr>
      </w:r>
      <w:r/>
    </w:p>
    <w:p>
      <w:pPr>
        <w:pStyle w:val="842"/>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.12.5供应商组成联合体参加投标，联合体中任何一方或多方未按要求签字、盖章、加盖公章的质疑。</w:t>
      </w:r>
      <w:r>
        <w:rPr>
          <w:rFonts w:hint="eastAsia" w:ascii="宋体" w:hAnsi="宋体"/>
          <w:bCs/>
          <w:szCs w:val="21"/>
          <w:highlight w:val="none"/>
        </w:rPr>
      </w:r>
      <w:r/>
    </w:p>
    <w:p>
      <w:pPr>
        <w:pStyle w:val="842"/>
        <w:ind w:firstLine="420"/>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4</w:t>
      </w:r>
      <w:r>
        <w:rPr>
          <w:rFonts w:hint="eastAsia" w:ascii="宋体" w:hAnsi="宋体"/>
          <w:bCs/>
          <w:szCs w:val="21"/>
          <w:highlight w:val="none"/>
        </w:rPr>
        <w:t xml:space="preserve">.1</w:t>
      </w:r>
      <w:r>
        <w:rPr>
          <w:rFonts w:hint="eastAsia" w:ascii="宋体" w:hAnsi="宋体"/>
          <w:bCs/>
          <w:szCs w:val="21"/>
          <w:highlight w:val="none"/>
          <w:lang w:val="en-US" w:eastAsia="zh-CN"/>
        </w:rPr>
        <w:t xml:space="preserve">3</w:t>
      </w:r>
      <w:r>
        <w:rPr>
          <w:rFonts w:hint="eastAsia" w:ascii="宋体" w:hAnsi="宋体"/>
          <w:bCs/>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szCs w:val="21"/>
          <w:highlight w:val="none"/>
        </w:rPr>
      </w:r>
      <w:r/>
    </w:p>
    <w:p>
      <w:pPr>
        <w:pStyle w:val="842"/>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rPr>
          <w:rFonts w:ascii="宋体" w:hAnsi="宋体"/>
          <w:b/>
          <w:szCs w:val="21"/>
          <w:highlight w:val="none"/>
        </w:rPr>
      </w:r>
      <w:r/>
    </w:p>
    <w:p>
      <w:pPr>
        <w:pStyle w:val="842"/>
        <w:ind w:firstLine="420"/>
        <w:spacing w:line="360" w:lineRule="auto"/>
        <w:shd w:val="clear" w:color="auto" w:fill="ffffff"/>
        <w:widowControl/>
        <w:rPr>
          <w:rFonts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rPr>
          <w:rFonts w:ascii="宋体" w:hAnsi="宋体"/>
          <w:b/>
          <w:bCs/>
          <w:szCs w:val="21"/>
          <w:highlight w:val="none"/>
        </w:rPr>
      </w:r>
      <w:r/>
    </w:p>
    <w:p>
      <w:pPr>
        <w:pStyle w:val="842"/>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842"/>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842"/>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842"/>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842"/>
        <w:ind w:firstLine="562"/>
        <w:jc w:val="center"/>
        <w:spacing w:line="360" w:lineRule="auto"/>
        <w:rPr>
          <w:rFonts w:eastAsia="黑体"/>
          <w:b/>
          <w:bCs/>
          <w:sz w:val="32"/>
          <w:szCs w:val="32"/>
          <w:highlight w:val="none"/>
        </w:rPr>
        <w:outlineLvl w:val="0"/>
      </w:pPr>
      <w:r/>
      <w:bookmarkStart w:id="115" w:name="_Toc668"/>
      <w:r>
        <w:rPr>
          <w:rFonts w:eastAsia="黑体"/>
          <w:b/>
          <w:bCs/>
          <w:sz w:val="32"/>
          <w:szCs w:val="32"/>
          <w:highlight w:val="none"/>
        </w:rPr>
        <w:br w:type="page" w:clear="all"/>
      </w:r>
      <w:r>
        <w:rPr>
          <w:rFonts w:eastAsia="黑体"/>
          <w:b/>
          <w:bCs/>
          <w:sz w:val="32"/>
          <w:szCs w:val="32"/>
          <w:highlight w:val="none"/>
        </w:rPr>
        <w:t xml:space="preserve">第三章 </w:t>
      </w:r>
      <w:bookmarkEnd w:id="115"/>
      <w:r>
        <w:rPr>
          <w:rFonts w:eastAsia="黑体"/>
          <w:b/>
          <w:bCs/>
          <w:sz w:val="32"/>
          <w:szCs w:val="32"/>
          <w:highlight w:val="none"/>
        </w:rPr>
        <w:t xml:space="preserve">评标方法、评分标准</w:t>
      </w:r>
      <w:bookmarkStart w:id="116" w:name="_Toc11059"/>
      <w:r>
        <w:rPr>
          <w:rFonts w:eastAsia="黑体"/>
          <w:b/>
          <w:bCs/>
          <w:sz w:val="32"/>
          <w:szCs w:val="32"/>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一、评标办法：</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1、评标方法采用综合评分法。即在投标文件满足招标文件全部实质性要求，且按照评审因素的量化指标评审得分最高的投标人为中标人的评标方法。</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2、综合评分的主要因素为：价格、技术水平、服务</w:t>
      </w:r>
      <w:r>
        <w:rPr>
          <w:rFonts w:hint="eastAsia" w:ascii="宋体" w:hAnsi="宋体" w:eastAsia="宋体" w:cs="宋体"/>
          <w:sz w:val="21"/>
          <w:szCs w:val="21"/>
          <w:highlight w:val="none"/>
          <w:lang w:eastAsia="zh-CN"/>
        </w:rPr>
        <w:t xml:space="preserve">、业绩、政府采购政策</w:t>
      </w:r>
      <w:r>
        <w:rPr>
          <w:rFonts w:hint="eastAsia" w:ascii="宋体" w:hAnsi="宋体" w:eastAsia="宋体" w:cs="宋体"/>
          <w:sz w:val="21"/>
          <w:szCs w:val="21"/>
          <w:highlight w:val="none"/>
        </w:rPr>
        <w:t xml:space="preserve">等，对采购文件的响应程度，以及相应的商务标和技术标比重或者分值等。</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为保障项目整体进度、缩短周期、避免干扰学校正常教学活动，结合项目实际需求，本项目共划分2个采购包进行招标。各投标人均可就本项目2个采购包同时参与投标，实行兼投不兼中的投标及中标原则。评标委员会按照分包1、分包2的顺序进行评标。</w:t>
      </w:r>
      <w:r>
        <w:rPr>
          <w:rFonts w:hint="eastAsia" w:ascii="宋体" w:hAnsi="宋体" w:eastAsia="宋体" w:cs="宋体"/>
          <w:sz w:val="21"/>
          <w:szCs w:val="21"/>
          <w:highlight w:val="none"/>
          <w:lang w:val="en-US" w:eastAsia="zh-CN"/>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二、政府采购政策执行办法：</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rFonts w:hint="eastAsia" w:ascii="宋体" w:hAnsi="宋体" w:eastAsia="宋体" w:cs="宋体"/>
          <w:b/>
          <w:bCs/>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同一投标人，上述三项价格扣除优惠不得重复享受。</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④采购本国产品的支持政策</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三、评分标准：</w:t>
      </w:r>
      <w:r>
        <w:rPr>
          <w:rFonts w:hint="eastAsia" w:ascii="宋体" w:hAnsi="宋体" w:eastAsia="宋体" w:cs="宋体"/>
          <w:sz w:val="21"/>
          <w:szCs w:val="21"/>
          <w:highlight w:val="none"/>
        </w:rPr>
      </w:r>
      <w:r/>
    </w:p>
    <w:p>
      <w:pPr>
        <w:pStyle w:val="87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本次采购的评标方法采用综合评分法，小数点后保留两位，四舍五入。</w:t>
      </w:r>
      <w:r>
        <w:rPr>
          <w:rFonts w:hint="eastAsia" w:ascii="宋体" w:hAnsi="宋体" w:eastAsia="宋体" w:cs="宋体"/>
          <w:sz w:val="21"/>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759"/>
        <w:gridCol w:w="5805"/>
        <w:gridCol w:w="531"/>
        <w:gridCol w:w="893"/>
      </w:tblGrid>
      <w:tr>
        <w:trPr>
          <w:trHeight w:val="550"/>
        </w:trPr>
        <w:tc>
          <w:tcPr>
            <w:tcW w:w="314" w:type="dxa"/>
            <w:vAlign w:val="center"/>
            <w:textDirection w:val="lrTb"/>
            <w:noWrap w:val="false"/>
          </w:tcPr>
          <w:p>
            <w:pPr>
              <w:pStyle w:val="842"/>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序号</w:t>
            </w:r>
            <w:r>
              <w:rPr>
                <w:rFonts w:hint="eastAsia" w:ascii="宋体" w:hAnsi="宋体" w:eastAsia="宋体" w:cs="宋体"/>
                <w:b/>
                <w:bCs/>
                <w:sz w:val="21"/>
                <w:szCs w:val="21"/>
                <w:highlight w:val="none"/>
              </w:rPr>
            </w:r>
            <w:r/>
          </w:p>
        </w:tc>
        <w:tc>
          <w:tcPr>
            <w:tcW w:w="451" w:type="dxa"/>
            <w:vAlign w:val="center"/>
            <w:textDirection w:val="lrTb"/>
            <w:noWrap w:val="false"/>
          </w:tcPr>
          <w:p>
            <w:pPr>
              <w:pStyle w:val="842"/>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评审因素</w:t>
            </w:r>
            <w:r>
              <w:rPr>
                <w:rFonts w:hint="eastAsia" w:ascii="宋体" w:hAnsi="宋体" w:eastAsia="宋体" w:cs="宋体"/>
                <w:b/>
                <w:bCs/>
                <w:sz w:val="21"/>
                <w:szCs w:val="21"/>
                <w:highlight w:val="none"/>
              </w:rPr>
            </w:r>
            <w:r/>
          </w:p>
        </w:tc>
        <w:tc>
          <w:tcPr>
            <w:tcW w:w="3411" w:type="dxa"/>
            <w:vAlign w:val="center"/>
            <w:textDirection w:val="lrTb"/>
            <w:noWrap w:val="false"/>
          </w:tcPr>
          <w:p>
            <w:pPr>
              <w:pStyle w:val="842"/>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评审细则</w:t>
            </w:r>
            <w:r>
              <w:rPr>
                <w:rFonts w:hint="eastAsia" w:ascii="宋体" w:hAnsi="宋体" w:eastAsia="宋体" w:cs="宋体"/>
                <w:b/>
                <w:bCs/>
                <w:sz w:val="21"/>
                <w:szCs w:val="21"/>
                <w:highlight w:val="none"/>
              </w:rPr>
            </w:r>
            <w:r/>
          </w:p>
        </w:tc>
        <w:tc>
          <w:tcPr>
            <w:tcW w:w="295" w:type="dxa"/>
            <w:vAlign w:val="center"/>
            <w:textDirection w:val="lrTb"/>
            <w:noWrap w:val="false"/>
          </w:tcPr>
          <w:p>
            <w:pPr>
              <w:pStyle w:val="842"/>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分值</w:t>
            </w:r>
            <w:r>
              <w:rPr>
                <w:rFonts w:hint="eastAsia" w:ascii="宋体" w:hAnsi="宋体" w:eastAsia="宋体" w:cs="宋体"/>
                <w:b/>
                <w:bCs/>
                <w:sz w:val="21"/>
                <w:szCs w:val="21"/>
                <w:highlight w:val="none"/>
              </w:rPr>
            </w:r>
            <w:r/>
          </w:p>
        </w:tc>
        <w:tc>
          <w:tcPr>
            <w:tcW w:w="527" w:type="dxa"/>
            <w:vAlign w:val="center"/>
            <w:textDirection w:val="lrTb"/>
            <w:noWrap w:val="false"/>
          </w:tcPr>
          <w:p>
            <w:pPr>
              <w:pStyle w:val="842"/>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分值类型</w:t>
            </w:r>
            <w:r>
              <w:rPr>
                <w:rFonts w:hint="eastAsia" w:ascii="宋体" w:hAnsi="宋体" w:eastAsia="宋体" w:cs="宋体"/>
                <w:b/>
                <w:bCs/>
                <w:sz w:val="21"/>
                <w:szCs w:val="21"/>
                <w:highlight w:val="none"/>
              </w:rPr>
            </w:r>
            <w:r/>
          </w:p>
        </w:tc>
      </w:tr>
      <w:tr>
        <w:trPr>
          <w:trHeight w:val="369"/>
        </w:trPr>
        <w:tc>
          <w:tcPr>
            <w:gridSpan w:val="5"/>
            <w:tcW w:w="8519" w:type="dxa"/>
            <w:vAlign w:val="top"/>
            <w:textDirection w:val="lrTb"/>
            <w:noWrap w:val="false"/>
          </w:tcPr>
          <w:p>
            <w:pPr>
              <w:pStyle w:val="842"/>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1.价格</w:t>
            </w:r>
            <w:r>
              <w:rPr>
                <w:rFonts w:hint="eastAsia" w:ascii="宋体" w:hAnsi="宋体" w:eastAsia="宋体" w:cs="宋体"/>
                <w:b/>
                <w:bCs/>
                <w:sz w:val="21"/>
                <w:szCs w:val="21"/>
                <w:highlight w:val="none"/>
              </w:rPr>
            </w:r>
            <w:r/>
          </w:p>
        </w:tc>
      </w:tr>
      <w:tr>
        <w:trPr>
          <w:trHeight w:val="1091"/>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w:t>
            </w:r>
            <w:r>
              <w:rPr>
                <w:rFonts w:hint="eastAsia" w:ascii="宋体" w:hAnsi="宋体" w:eastAsia="宋体" w:cs="宋体"/>
                <w:sz w:val="21"/>
                <w:szCs w:val="21"/>
                <w:highlight w:val="none"/>
              </w:rPr>
            </w:r>
            <w:r/>
          </w:p>
        </w:tc>
        <w:tc>
          <w:tcPr>
            <w:tcW w:w="451"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价格分</w:t>
            </w:r>
            <w:r>
              <w:rPr>
                <w:rFonts w:hint="eastAsia" w:ascii="宋体" w:hAnsi="宋体" w:eastAsia="宋体" w:cs="宋体"/>
                <w:sz w:val="21"/>
                <w:szCs w:val="21"/>
                <w:highlight w:val="none"/>
              </w:rPr>
            </w:r>
            <w:r/>
          </w:p>
        </w:tc>
        <w:tc>
          <w:tcPr>
            <w:tcW w:w="3411" w:type="dxa"/>
            <w:vAlign w:val="center"/>
            <w:textDirection w:val="lrTb"/>
            <w:noWrap w:val="false"/>
          </w:tcPr>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sz w:val="21"/>
                <w:szCs w:val="21"/>
                <w:highlight w:val="none"/>
              </w:rPr>
            </w:r>
            <w:r/>
          </w:p>
        </w:tc>
        <w:tc>
          <w:tcPr>
            <w:tcW w:w="295" w:type="dxa"/>
            <w:vAlign w:val="center"/>
            <w:textDirection w:val="lrTb"/>
            <w:noWrap w:val="false"/>
          </w:tcPr>
          <w:p>
            <w:pPr>
              <w:pStyle w:val="842"/>
              <w:jc w:val="center"/>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ascii="宋体" w:hAnsi="宋体" w:eastAsia="宋体" w:cs="宋体"/>
                <w:sz w:val="21"/>
                <w:szCs w:val="21"/>
                <w:highlight w:val="none"/>
                <w:lang w:val="en-US" w:eastAsia="zh-CN"/>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价格分</w:t>
            </w:r>
            <w:r>
              <w:rPr>
                <w:rFonts w:hint="eastAsia" w:ascii="宋体" w:hAnsi="宋体" w:eastAsia="宋体" w:cs="宋体"/>
                <w:sz w:val="21"/>
                <w:szCs w:val="21"/>
                <w:highlight w:val="none"/>
              </w:rPr>
            </w:r>
            <w:r/>
          </w:p>
        </w:tc>
      </w:tr>
      <w:tr>
        <w:trPr>
          <w:trHeight w:val="369"/>
        </w:trPr>
        <w:tc>
          <w:tcPr>
            <w:gridSpan w:val="5"/>
            <w:tcW w:w="8519" w:type="dxa"/>
            <w:vAlign w:val="top"/>
            <w:textDirection w:val="lrTb"/>
            <w:noWrap w:val="false"/>
          </w:tcPr>
          <w:p>
            <w:pPr>
              <w:pStyle w:val="842"/>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2.技术</w:t>
            </w:r>
            <w:r>
              <w:rPr>
                <w:rFonts w:hint="eastAsia" w:ascii="宋体" w:hAnsi="宋体" w:eastAsia="宋体" w:cs="宋体"/>
                <w:b/>
                <w:bCs/>
                <w:sz w:val="21"/>
                <w:szCs w:val="21"/>
                <w:highlight w:val="none"/>
              </w:rPr>
            </w:r>
            <w:r/>
          </w:p>
        </w:tc>
      </w:tr>
      <w:tr>
        <w:trPr>
          <w:trHeight w:val="1361"/>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2.1</w:t>
            </w:r>
            <w:r>
              <w:rPr>
                <w:rFonts w:hint="eastAsia" w:ascii="宋体" w:hAnsi="宋体" w:eastAsia="宋体" w:cs="宋体"/>
                <w:sz w:val="21"/>
                <w:szCs w:val="21"/>
                <w:highlight w:val="none"/>
              </w:rPr>
            </w:r>
            <w:r/>
          </w:p>
        </w:tc>
        <w:tc>
          <w:tcPr>
            <w:tcW w:w="451"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产品技术参数</w:t>
            </w:r>
            <w:r>
              <w:rPr>
                <w:rFonts w:hint="eastAsia" w:ascii="宋体" w:hAnsi="宋体" w:eastAsia="宋体" w:cs="宋体"/>
                <w:sz w:val="21"/>
                <w:szCs w:val="21"/>
                <w:highlight w:val="none"/>
              </w:rPr>
            </w:r>
            <w:r/>
          </w:p>
        </w:tc>
        <w:tc>
          <w:tcPr>
            <w:tcW w:w="3411" w:type="dxa"/>
            <w:vAlign w:val="center"/>
            <w:textDirection w:val="lrTb"/>
            <w:noWrap w:val="false"/>
          </w:tcPr>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产品技术参数全部满足招标要求的得满分，打★指标为必须满足项，如有负偏离将作为无效投标；打▲指标为重要指标，有一项负偏离扣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分；其余指标，有一项负偏离扣</w:t>
            </w:r>
            <w:r>
              <w:rPr>
                <w:rFonts w:hint="eastAsia" w:ascii="宋体" w:hAnsi="宋体" w:eastAsia="宋体" w:cs="宋体"/>
                <w:sz w:val="21"/>
                <w:szCs w:val="21"/>
                <w:highlight w:val="none"/>
                <w:lang w:val="en-US" w:eastAsia="zh-CN"/>
              </w:rPr>
              <w:t xml:space="preserve">0.05</w:t>
            </w:r>
            <w:r>
              <w:rPr>
                <w:rFonts w:hint="eastAsia" w:ascii="宋体" w:hAnsi="宋体" w:eastAsia="宋体" w:cs="宋体"/>
                <w:sz w:val="21"/>
                <w:szCs w:val="21"/>
                <w:highlight w:val="none"/>
              </w:rPr>
              <w:t xml:space="preserve">分，扣完为止。严重负偏离影响设备性能的经半数以上评委认定，本项得零分。</w:t>
            </w:r>
            <w:r>
              <w:rPr>
                <w:rFonts w:hint="eastAsia" w:ascii="宋体" w:hAnsi="宋体" w:eastAsia="宋体" w:cs="宋体"/>
                <w:sz w:val="21"/>
                <w:szCs w:val="21"/>
                <w:highlight w:val="none"/>
              </w:rPr>
            </w:r>
            <w:r/>
          </w:p>
        </w:tc>
        <w:tc>
          <w:tcPr>
            <w:tcW w:w="295" w:type="dxa"/>
            <w:vAlign w:val="center"/>
            <w:textDirection w:val="lrTb"/>
            <w:noWrap w:val="false"/>
          </w:tcPr>
          <w:p>
            <w:pPr>
              <w:pStyle w:val="842"/>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客观分</w:t>
            </w:r>
            <w:r>
              <w:rPr>
                <w:rFonts w:hint="eastAsia" w:ascii="宋体" w:hAnsi="宋体" w:eastAsia="宋体" w:cs="宋体"/>
                <w:sz w:val="21"/>
                <w:szCs w:val="21"/>
                <w:highlight w:val="none"/>
              </w:rPr>
            </w:r>
            <w:r/>
          </w:p>
        </w:tc>
      </w:tr>
      <w:tr>
        <w:trPr>
          <w:trHeight w:val="90"/>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2.2</w:t>
            </w:r>
            <w:r>
              <w:rPr>
                <w:rFonts w:hint="eastAsia" w:ascii="宋体" w:hAnsi="宋体" w:eastAsia="宋体" w:cs="宋体"/>
                <w:sz w:val="21"/>
                <w:szCs w:val="21"/>
                <w:highlight w:val="none"/>
              </w:rPr>
            </w:r>
            <w:r/>
          </w:p>
        </w:tc>
        <w:tc>
          <w:tcPr>
            <w:tcW w:w="451"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深化设计方案</w:t>
            </w:r>
            <w:r>
              <w:rPr>
                <w:rFonts w:hint="eastAsia" w:ascii="宋体" w:hAnsi="宋体" w:eastAsia="宋体" w:cs="宋体"/>
                <w:sz w:val="21"/>
                <w:szCs w:val="21"/>
                <w:highlight w:val="none"/>
              </w:rPr>
            </w:r>
            <w:r/>
          </w:p>
        </w:tc>
        <w:tc>
          <w:tcPr>
            <w:tcW w:w="3411" w:type="dxa"/>
            <w:vAlign w:val="center"/>
            <w:textDirection w:val="lrTb"/>
            <w:noWrap w:val="false"/>
          </w:tcPr>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投标人须根据分校配置清单、</w:t>
            </w:r>
            <w:r>
              <w:rPr>
                <w:rFonts w:hint="eastAsia" w:ascii="宋体" w:hAnsi="宋体" w:eastAsia="宋体" w:cs="宋体"/>
                <w:sz w:val="21"/>
                <w:szCs w:val="21"/>
                <w:highlight w:val="none"/>
                <w:lang w:val="en-US" w:eastAsia="zh-CN"/>
              </w:rPr>
              <w:t xml:space="preserve">针对本项目</w:t>
            </w:r>
            <w:r>
              <w:rPr>
                <w:rFonts w:hint="eastAsia" w:ascii="宋体" w:hAnsi="宋体" w:eastAsia="宋体" w:cs="宋体"/>
                <w:sz w:val="21"/>
                <w:szCs w:val="21"/>
                <w:highlight w:val="none"/>
              </w:rPr>
              <w:t xml:space="preserve">及学校实际使用条件，提供本项目</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针对：分包1：高淳区固城中心小学、高淳区第三中学；分包2：六合区北京东路小学棠城分校、六合区实验高级中学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深化设计方案。评委重点从方案完整性、现场适配性、技术可行性、教学实用性、数据融合能力、安全规范性和运维便利性等方面进行评分。</w:t>
            </w:r>
            <w:r>
              <w:rPr>
                <w:rFonts w:hint="eastAsia" w:ascii="宋体" w:hAnsi="宋体" w:eastAsia="宋体" w:cs="宋体"/>
                <w:sz w:val="21"/>
                <w:szCs w:val="21"/>
                <w:highlight w:val="none"/>
              </w:rPr>
            </w:r>
            <w:r/>
          </w:p>
          <w:p>
            <w:pPr>
              <w:pStyle w:val="84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 跑步测试套装深化设计，满分3分。</w:t>
            </w:r>
            <w:r>
              <w:rPr>
                <w:rFonts w:hint="eastAsia" w:ascii="宋体" w:hAnsi="宋体" w:eastAsia="宋体" w:cs="宋体"/>
                <w:b/>
                <w:bCs/>
                <w:sz w:val="21"/>
                <w:szCs w:val="21"/>
                <w:highlight w:val="none"/>
              </w:rPr>
            </w:r>
            <w:r/>
          </w:p>
          <w:p>
            <w:pPr>
              <w:pStyle w:val="842"/>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方案能够结合勘察学校的操场尺寸、跑道路线、现有布局和设备配置清单，明确50米跑、100米跑、800/1000米跑等测试套装的设备点位、起终点设置、发令组织、显示设备配置、线缆敷设、供电网络、数据传输和安装维护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设备部署不影响操场原有功能、规范使用和安全管理，方案完整、表达规范、可实施性强的，得3分；</w:t>
            </w:r>
            <w:r>
              <w:rPr>
                <w:rFonts w:hint="eastAsia" w:ascii="宋体" w:hAnsi="宋体" w:eastAsia="宋体" w:cs="宋体"/>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方案基本可行，但现场适配、设备点位、线缆路径、组织方式或运维考虑不够充分的，得1分；</w:t>
            </w:r>
            <w:r>
              <w:rPr>
                <w:rFonts w:hint="eastAsia" w:ascii="宋体" w:hAnsi="宋体" w:eastAsia="宋体" w:cs="宋体"/>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方案明显脱离现场、核心内容缺失或未提供的，不得分。</w:t>
            </w:r>
            <w:r>
              <w:rPr>
                <w:rFonts w:hint="eastAsia" w:ascii="宋体" w:hAnsi="宋体" w:eastAsia="宋体" w:cs="宋体"/>
                <w:sz w:val="21"/>
                <w:szCs w:val="21"/>
                <w:highlight w:val="none"/>
              </w:rPr>
            </w:r>
            <w:r/>
          </w:p>
          <w:p>
            <w:pPr>
              <w:pStyle w:val="84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 开放式室内运动空间整体环境深化设计，满分2分。</w:t>
            </w:r>
            <w:r>
              <w:rPr>
                <w:rFonts w:hint="eastAsia" w:ascii="宋体" w:hAnsi="宋体" w:eastAsia="宋体" w:cs="宋体"/>
                <w:b/>
                <w:bCs/>
                <w:sz w:val="21"/>
                <w:szCs w:val="21"/>
                <w:highlight w:val="none"/>
              </w:rPr>
            </w:r>
            <w:r/>
          </w:p>
          <w:p>
            <w:pPr>
              <w:pStyle w:val="842"/>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方案能够结合学校现有室内空间条件，对AI室内运动角、室内体测设备两类设备，结合本项目的运动地胶、文化布置及相关配套设施进行整体设计，明确设备摆放、学生运动区域、地面设计、空间动线、屏幕朝向、供电网络和安全防护等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效果图或布置图能够体现空间使用效果，满足课堂教学、课间锻炼、体测训练和学生自主运动需要的，得2分；</w:t>
            </w:r>
            <w:r>
              <w:rPr>
                <w:rFonts w:hint="eastAsia" w:ascii="宋体" w:hAnsi="宋体" w:eastAsia="宋体" w:cs="宋体"/>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方案基本体现设备布置和空间使用思路，但细节不够完整的，得1分；</w:t>
            </w:r>
            <w:r>
              <w:rPr>
                <w:rFonts w:hint="eastAsia" w:ascii="宋体" w:hAnsi="宋体" w:eastAsia="宋体" w:cs="宋体"/>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方案与现场空间不匹配、缺少关键设计内容或未提供的，不得分。</w:t>
            </w:r>
            <w:r>
              <w:rPr>
                <w:rFonts w:hint="eastAsia" w:ascii="宋体" w:hAnsi="宋体" w:eastAsia="宋体" w:cs="宋体"/>
                <w:sz w:val="21"/>
                <w:szCs w:val="21"/>
                <w:highlight w:val="none"/>
              </w:rPr>
            </w:r>
            <w:r/>
          </w:p>
          <w:p>
            <w:pPr>
              <w:pStyle w:val="84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 智慧体育校级平台数据融合与安全部署深化设计，满分3分。</w:t>
            </w:r>
            <w:r>
              <w:rPr>
                <w:rFonts w:hint="eastAsia" w:ascii="宋体" w:hAnsi="宋体" w:eastAsia="宋体" w:cs="宋体"/>
                <w:b/>
                <w:bCs/>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投标人应结合学校现有信息化平台、学生基础数据管理方式及五育并举或综合评价应用需求，提供智慧体育校级平台数据融合与安全部署深化设计。</w:t>
            </w:r>
            <w:r>
              <w:rPr>
                <w:rFonts w:hint="eastAsia" w:ascii="宋体" w:hAnsi="宋体" w:eastAsia="宋体" w:cs="宋体"/>
                <w:sz w:val="21"/>
                <w:szCs w:val="21"/>
                <w:highlight w:val="none"/>
              </w:rPr>
            </w:r>
            <w:r/>
          </w:p>
          <w:p>
            <w:pPr>
              <w:pStyle w:val="842"/>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方案能够说明体育测试、体锻训练、运动心率等数据向学校其他平台提供使用的方式，能够体现与五育并举、学生成长档案或综合评价平台的数据衔接思路，并明确平台部署、接口开放、数据导出、权限控制、联调服务和安全保障措施，内容完整、逻辑清晰、可实施性强的，得3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（2）方案能够基本说明数据提供、平台衔接、部署方式和安全保障等内容，但接口方式、数据流转、权限控制或联调安排不够充分的，得1分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（3）方案主要重复平台通用功能，未体现与学校其他平台或五育评价应用的数据融合关系，或未提供的，不得分。</w:t>
            </w:r>
            <w:r>
              <w:rPr>
                <w:rFonts w:hint="eastAsia" w:ascii="宋体" w:hAnsi="宋体" w:eastAsia="宋体" w:cs="宋体"/>
                <w:sz w:val="21"/>
                <w:szCs w:val="21"/>
                <w:highlight w:val="none"/>
              </w:rPr>
            </w:r>
            <w:r/>
          </w:p>
        </w:tc>
        <w:tc>
          <w:tcPr>
            <w:tcW w:w="295"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rPr>
                <w:rFonts w:hint="eastAsia" w:ascii="宋体" w:hAnsi="宋体" w:eastAsia="宋体" w:cs="宋体"/>
                <w:sz w:val="21"/>
                <w:szCs w:val="21"/>
                <w:highlight w:val="none"/>
              </w:rPr>
            </w:r>
            <w:r/>
          </w:p>
        </w:tc>
      </w:tr>
      <w:tr>
        <w:trPr>
          <w:trHeight w:val="90"/>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2.3</w:t>
            </w:r>
            <w:r>
              <w:rPr>
                <w:rFonts w:hint="eastAsia" w:ascii="宋体" w:hAnsi="宋体" w:eastAsia="宋体" w:cs="宋体"/>
                <w:sz w:val="21"/>
                <w:szCs w:val="21"/>
                <w:highlight w:val="none"/>
                <w:lang w:bidi="ar"/>
              </w:rPr>
            </w:r>
            <w:r/>
          </w:p>
        </w:tc>
        <w:tc>
          <w:tcPr>
            <w:tcW w:w="451"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软件著作权</w:t>
            </w:r>
            <w:r>
              <w:rPr>
                <w:rFonts w:hint="eastAsia" w:ascii="宋体" w:hAnsi="宋体" w:eastAsia="宋体" w:cs="宋体"/>
                <w:sz w:val="21"/>
                <w:szCs w:val="21"/>
                <w:highlight w:val="none"/>
              </w:rPr>
            </w:r>
            <w:r/>
          </w:p>
        </w:tc>
        <w:tc>
          <w:tcPr>
            <w:tcW w:w="3411" w:type="dxa"/>
            <w:vAlign w:val="center"/>
            <w:textDirection w:val="lrTb"/>
            <w:noWrap w:val="false"/>
          </w:tcPr>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1、投标人或所投体育产品制造商具有本项目相关的软件著作权证书，包括“跑步测试套装”关键字，得1分，未提供不得分。 </w:t>
            </w:r>
            <w:r>
              <w:rPr>
                <w:rFonts w:hint="eastAsia" w:ascii="宋体" w:hAnsi="宋体" w:eastAsia="宋体" w:cs="宋体"/>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2、投标人或所投体育产品制造商具有本项目相关的软件著作权证书，包括“智能教学体测一体机”关键字，得1分，未提供不得分。 </w:t>
            </w:r>
            <w:r>
              <w:rPr>
                <w:rFonts w:hint="eastAsia" w:ascii="宋体" w:hAnsi="宋体" w:eastAsia="宋体" w:cs="宋体"/>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3、投标人或所投体育产品制造商具有本项目相关的软件著作权证书，包括“AI室内运动角、室内体测设备”关键字，每提供1个证书得0.5分，最多得1分，未提供不得分。</w:t>
            </w:r>
            <w:r>
              <w:rPr>
                <w:rFonts w:hint="eastAsia" w:ascii="宋体" w:hAnsi="宋体" w:eastAsia="宋体" w:cs="宋体"/>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以上1-3条</w:t>
            </w:r>
            <w:r>
              <w:rPr>
                <w:rFonts w:hint="eastAsia" w:ascii="宋体" w:hAnsi="宋体" w:eastAsia="宋体" w:cs="宋体"/>
                <w:sz w:val="21"/>
                <w:szCs w:val="21"/>
                <w:highlight w:val="none"/>
              </w:rPr>
              <w:t xml:space="preserve">所提供证书“软件名称”与评分细则规定不同时，应提供符合上述要求的内容（功能）说明及关键信息，否则不予认可。）</w:t>
            </w:r>
            <w:r>
              <w:rPr>
                <w:rFonts w:hint="eastAsia" w:ascii="宋体" w:hAnsi="宋体" w:eastAsia="宋体" w:cs="宋体"/>
                <w:sz w:val="21"/>
                <w:szCs w:val="21"/>
                <w:highlight w:val="none"/>
              </w:rPr>
            </w:r>
            <w:r/>
          </w:p>
        </w:tc>
        <w:tc>
          <w:tcPr>
            <w:tcW w:w="295" w:type="dxa"/>
            <w:vAlign w:val="center"/>
            <w:textDirection w:val="lrTb"/>
            <w:noWrap w:val="false"/>
          </w:tcPr>
          <w:p>
            <w:pPr>
              <w:pStyle w:val="842"/>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客观分</w:t>
            </w:r>
            <w:r>
              <w:rPr>
                <w:rFonts w:hint="eastAsia" w:ascii="宋体" w:hAnsi="宋体" w:eastAsia="宋体" w:cs="宋体"/>
                <w:sz w:val="21"/>
                <w:szCs w:val="21"/>
                <w:highlight w:val="none"/>
                <w:lang w:bidi="ar"/>
              </w:rPr>
            </w:r>
            <w:r/>
          </w:p>
        </w:tc>
      </w:tr>
      <w:tr>
        <w:trPr>
          <w:trHeight w:val="90"/>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2.4</w:t>
            </w:r>
            <w:r>
              <w:rPr>
                <w:rFonts w:hint="eastAsia" w:ascii="宋体" w:hAnsi="宋体" w:eastAsia="宋体" w:cs="宋体"/>
                <w:sz w:val="21"/>
                <w:szCs w:val="21"/>
                <w:highlight w:val="none"/>
                <w:lang w:bidi="ar"/>
              </w:rPr>
            </w:r>
            <w:r/>
          </w:p>
        </w:tc>
        <w:tc>
          <w:tcPr>
            <w:tcW w:w="451" w:type="dxa"/>
            <w:vAlign w:val="center"/>
            <w:textDirection w:val="lrTb"/>
            <w:noWrap w:val="false"/>
          </w:tcPr>
          <w:p>
            <w:pPr>
              <w:pStyle w:val="842"/>
              <w:jc w:val="left"/>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bidi="ar"/>
              </w:rPr>
              <w:t xml:space="preserve">产品功能</w:t>
            </w:r>
            <w:r>
              <w:rPr>
                <w:rFonts w:hint="eastAsia" w:ascii="宋体" w:hAnsi="宋体" w:eastAsia="宋体" w:cs="宋体"/>
                <w:sz w:val="21"/>
                <w:szCs w:val="21"/>
                <w:highlight w:val="none"/>
                <w:lang w:val="en-US" w:eastAsia="zh-CN" w:bidi="ar"/>
              </w:rPr>
              <w:t xml:space="preserve">评价</w:t>
            </w:r>
            <w:r>
              <w:rPr>
                <w:rFonts w:hint="eastAsia" w:ascii="宋体" w:hAnsi="宋体" w:eastAsia="宋体" w:cs="宋体"/>
                <w:sz w:val="21"/>
                <w:szCs w:val="21"/>
                <w:highlight w:val="none"/>
                <w:lang w:val="en-US" w:eastAsia="zh-CN" w:bidi="ar"/>
              </w:rPr>
            </w:r>
            <w:r/>
          </w:p>
        </w:tc>
        <w:tc>
          <w:tcPr>
            <w:tcW w:w="3411" w:type="dxa"/>
            <w:vAlign w:val="center"/>
            <w:textDirection w:val="lrTb"/>
            <w:noWrap w:val="false"/>
          </w:tcPr>
          <w:p>
            <w:pPr>
              <w:pStyle w:val="842"/>
              <w:widowControl/>
              <w:rPr>
                <w:rFonts w:hint="eastAsia" w:ascii="宋体" w:hAnsi="宋体" w:eastAsia="宋体" w:cs="宋体"/>
                <w:sz w:val="21"/>
                <w:szCs w:val="21"/>
                <w:highlight w:val="none"/>
                <w:lang w:bidi="ar"/>
              </w:rPr>
            </w:pPr>
            <w:r>
              <w:rPr>
                <w:rFonts w:hint="eastAsia" w:ascii="宋体" w:hAnsi="宋体" w:eastAsia="宋体" w:cs="宋体"/>
                <w:b/>
                <w:bCs/>
                <w:sz w:val="21"/>
                <w:szCs w:val="21"/>
                <w:highlight w:val="none"/>
                <w:lang w:bidi="ar"/>
              </w:rPr>
              <w:t xml:space="preserve">室内体测设备一体化设计与显示设备，满分4分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根据所投设备的整体形态、一体化集成程度、显示交互能力和安装稳定性进行评分：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设备采用一体化框架或围绕主屏的嵌入式结构设计，集成显示、图像采集、计算处理和交互控制等核心部件，内置触控显示设备，触控显示尺寸≥42英寸，整体结构稳定，能够满足项目选择、学生检录、成绩查看、数据管理等操作需求的，得4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（2）设备采用一体化框架或围绕主屏的嵌入式结构设计，集成主要功能部件，内置触控显示设备，触控显示尺寸≥32英寸，能够满足项目选择、学生检录、成绩查看等基本操作需求的，得3分。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（3）显示设备采用非触控≥55英寸液晶电视（显示器），未采用一体化框架或围绕主屏的嵌入式结构设计，满足基本测试显示、成绩展示和系统操作需求的，得1分。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（4）以上均不满足，或未提供有效证明材料的，不得分。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注：投标人须提供整机外观图片、产品彩页、结构说明、显示尺寸说明、触控功能说明、系统界面截图等证明材料；证明材料无法体现设备形态、显示尺寸、触控交互能力或核心部件集成情况的，相应评分点不得分。</w:t>
            </w:r>
            <w:r>
              <w:rPr>
                <w:rFonts w:hint="eastAsia" w:ascii="宋体" w:hAnsi="宋体" w:eastAsia="宋体" w:cs="宋体"/>
                <w:sz w:val="21"/>
                <w:szCs w:val="21"/>
                <w:highlight w:val="none"/>
              </w:rPr>
            </w:r>
            <w:r/>
          </w:p>
        </w:tc>
        <w:tc>
          <w:tcPr>
            <w:tcW w:w="295"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lang w:bidi="ar"/>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客观分</w:t>
            </w:r>
            <w:r>
              <w:rPr>
                <w:rFonts w:hint="eastAsia" w:ascii="宋体" w:hAnsi="宋体" w:eastAsia="宋体" w:cs="宋体"/>
                <w:sz w:val="21"/>
                <w:szCs w:val="21"/>
                <w:highlight w:val="none"/>
                <w:lang w:bidi="ar"/>
              </w:rPr>
            </w:r>
            <w:r/>
          </w:p>
        </w:tc>
      </w:tr>
      <w:tr>
        <w:trPr>
          <w:trHeight w:val="90"/>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2.5</w:t>
            </w:r>
            <w:r>
              <w:rPr>
                <w:rFonts w:hint="eastAsia" w:ascii="宋体" w:hAnsi="宋体" w:eastAsia="宋体" w:cs="宋体"/>
                <w:sz w:val="21"/>
                <w:szCs w:val="21"/>
                <w:highlight w:val="none"/>
                <w:lang w:bidi="ar"/>
              </w:rPr>
            </w:r>
            <w:r/>
          </w:p>
        </w:tc>
        <w:tc>
          <w:tcPr>
            <w:tcW w:w="451"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视频演示</w:t>
            </w:r>
            <w:r>
              <w:rPr>
                <w:rFonts w:hint="eastAsia" w:ascii="宋体" w:hAnsi="宋体" w:eastAsia="宋体" w:cs="宋体"/>
                <w:sz w:val="21"/>
                <w:szCs w:val="21"/>
                <w:highlight w:val="none"/>
                <w:lang w:bidi="ar"/>
              </w:rPr>
            </w:r>
            <w:r/>
          </w:p>
        </w:tc>
        <w:tc>
          <w:tcPr>
            <w:tcW w:w="3411" w:type="dxa"/>
            <w:vAlign w:val="center"/>
            <w:textDirection w:val="lrTb"/>
            <w:noWrap w:val="false"/>
          </w:tcPr>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评委根据投标人提供的AI室内运动角、室内体侧设备及设备工艺、防护与运维设计的视频演示情况综合评分（以视频方式进行演示，每个视频时长不超过</w:t>
            </w:r>
            <w:r>
              <w:rPr>
                <w:rFonts w:hint="eastAsia" w:ascii="宋体" w:hAnsi="宋体" w:eastAsia="宋体" w:cs="宋体"/>
                <w:sz w:val="21"/>
                <w:szCs w:val="21"/>
                <w:highlight w:val="none"/>
                <w:lang w:val="en-US" w:eastAsia="zh-CN" w:bidi="ar"/>
              </w:rPr>
              <w:t xml:space="preserve">5</w:t>
            </w:r>
            <w:r>
              <w:rPr>
                <w:rFonts w:hint="eastAsia" w:ascii="宋体" w:hAnsi="宋体" w:eastAsia="宋体" w:cs="宋体"/>
                <w:sz w:val="21"/>
                <w:szCs w:val="21"/>
                <w:highlight w:val="none"/>
                <w:lang w:bidi="ar"/>
              </w:rPr>
              <w:t xml:space="preserve">分钟，总时长不超过</w:t>
            </w:r>
            <w:r>
              <w:rPr>
                <w:rFonts w:hint="eastAsia" w:ascii="宋体" w:hAnsi="宋体" w:eastAsia="宋体" w:cs="宋体"/>
                <w:sz w:val="21"/>
                <w:szCs w:val="21"/>
                <w:highlight w:val="none"/>
                <w:lang w:val="en-US" w:eastAsia="zh-CN" w:bidi="ar"/>
              </w:rPr>
              <w:t xml:space="preserve">15</w:t>
            </w:r>
            <w:r>
              <w:rPr>
                <w:rFonts w:hint="eastAsia" w:ascii="宋体" w:hAnsi="宋体" w:eastAsia="宋体" w:cs="宋体"/>
                <w:sz w:val="21"/>
                <w:szCs w:val="21"/>
                <w:highlight w:val="none"/>
                <w:lang w:bidi="ar"/>
              </w:rPr>
              <w:t xml:space="preserve">分钟）：</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1、AI室内运动角</w:t>
            </w:r>
            <w:r>
              <w:rPr>
                <w:rFonts w:hint="eastAsia" w:ascii="宋体" w:hAnsi="宋体" w:eastAsia="宋体" w:cs="宋体"/>
                <w:b/>
                <w:bCs/>
                <w:sz w:val="21"/>
                <w:szCs w:val="21"/>
                <w:highlight w:val="none"/>
                <w:lang w:eastAsia="zh-CN" w:bidi="ar"/>
              </w:rPr>
              <w:t xml:space="preserve">，</w:t>
            </w:r>
            <w:r>
              <w:rPr>
                <w:rFonts w:hint="eastAsia" w:ascii="宋体" w:hAnsi="宋体" w:eastAsia="宋体" w:cs="宋体"/>
                <w:b/>
                <w:bCs/>
                <w:sz w:val="21"/>
                <w:szCs w:val="21"/>
                <w:highlight w:val="none"/>
                <w:lang w:val="en-US" w:eastAsia="zh-CN" w:bidi="ar"/>
              </w:rPr>
              <w:t xml:space="preserve">满分3分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投标人须提供AI室内运动角应用视频演示，视频应体现活动创建、项目选择、学生参与、成绩记录、排行展示或结果反馈等过程。</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组织层面：本校内多台AI室内运动角以及学校有相近功能的室内体测设备能够实现联动，支持围绕校内主题运动开展跨班级、跨年级PK等活动；系统活动策划与管理流程设计合理，操作便利，学生参与比赛的交互界面友好。教学资源层面：支持校本化运动项目的内容配置。以上内容体现完整的，得3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（2）组织层面：本校内多台AI室内运动角联动，支持围绕校内主题运动开展跨班级、跨年级PK等活动；系统活动策划与管理流程较合理，操作较便利，学生参与比赛的交互界面较友好。得2分。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（3）未提供相关视频演示，或视频无法体现AI室内运动角联动、活动组织及结果反馈能力的，不得分。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2、室内体测设备</w:t>
            </w:r>
            <w:r>
              <w:rPr>
                <w:rFonts w:hint="eastAsia" w:ascii="宋体" w:hAnsi="宋体" w:eastAsia="宋体" w:cs="宋体"/>
                <w:b/>
                <w:bCs/>
                <w:sz w:val="21"/>
                <w:szCs w:val="21"/>
                <w:highlight w:val="none"/>
                <w:lang w:eastAsia="zh-CN" w:bidi="ar"/>
              </w:rPr>
              <w:t xml:space="preserve">、</w:t>
            </w:r>
            <w:r>
              <w:rPr>
                <w:rFonts w:hint="eastAsia" w:ascii="宋体" w:hAnsi="宋体" w:eastAsia="宋体" w:cs="宋体"/>
                <w:b/>
                <w:bCs/>
                <w:sz w:val="21"/>
                <w:szCs w:val="21"/>
                <w:highlight w:val="none"/>
                <w:lang w:val="en-US" w:eastAsia="zh-CN" w:bidi="ar"/>
              </w:rPr>
              <w:t xml:space="preserve">智能教学体测一体机</w:t>
            </w:r>
            <w:r>
              <w:rPr>
                <w:rFonts w:hint="eastAsia" w:ascii="宋体" w:hAnsi="宋体" w:eastAsia="宋体" w:cs="宋体"/>
                <w:b/>
                <w:bCs/>
                <w:sz w:val="21"/>
                <w:szCs w:val="21"/>
                <w:highlight w:val="none"/>
                <w:lang w:bidi="ar"/>
              </w:rPr>
              <w:t xml:space="preserve">多人并发测试与复杂场景识别能力，满分4分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投标人须提供所投室内体测设备</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智能教学体测一体机</w:t>
            </w:r>
            <w:r>
              <w:rPr>
                <w:rFonts w:hint="eastAsia" w:ascii="宋体" w:hAnsi="宋体" w:eastAsia="宋体" w:cs="宋体"/>
                <w:sz w:val="21"/>
                <w:szCs w:val="21"/>
                <w:highlight w:val="none"/>
                <w:lang w:bidi="ar"/>
              </w:rPr>
              <w:t xml:space="preserve">的视频演示材料。视频应重点展示跳绳、仰卧起坐、坐位体前屈3类项目的多人同时测试能力，并同步展示学生运动过程、系统识别界面、异常提示、成绩显示及结果反馈等内容。</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视频演示中应让参与人员模拟以下违规或异常动作场景，并体现系统识别、提示、标记或成绩处理结果：仰卧起坐项目应展示“顶胯离垫”和“肩背未触垫即起身”2类情形；跳绳项目应展示“中途离开测试点位”和“不符合跳绳动作要求”2类情形；坐位体前屈项目应展示“双腿屈膝”和“单手推板”2类情形。</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根据视频中3类项目能够完成有效识别、计数、测距、异常提示和成绩反馈的并发能力进行评分：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（1）仰卧起坐并发识别人数≥6人、跳绳并发识别人数≥8人、坐位体前屈并发识别人数≥5人，且均能完成有效识别、成绩记录、结果反馈和上述违规或异常动作识别的，得4分。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（2）仰卧起坐并发识别人数≥5人、跳绳并发识别人数≥7人、坐位体前屈并发识别人数≥4人，且均能完成有效识别、成绩记录、结果反馈和上述违规或异常动作识别的，得3分。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（3）仰卧起坐并发识别人数≥4人、跳绳并发识别人数≥6人、坐位体前屈并发识别人数≥3人，且均能完成有效识别、成绩记录、结果反馈和上述违规或异常动作识别的，得1分。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（4）低于上述第（2）项任一项目并发人数要求，或未演示指定违规或异常动作，或无法有效识别、无法同步体现系统识别界面和成绩反馈的，不得分。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val="en-US" w:eastAsia="zh-CN" w:bidi="ar"/>
              </w:rPr>
              <w:t xml:space="preserve">3、</w:t>
            </w:r>
            <w:r>
              <w:rPr>
                <w:rFonts w:hint="eastAsia" w:ascii="宋体" w:hAnsi="宋体" w:eastAsia="宋体" w:cs="宋体"/>
                <w:b/>
                <w:bCs/>
                <w:sz w:val="21"/>
                <w:szCs w:val="21"/>
                <w:highlight w:val="none"/>
                <w:lang w:bidi="ar"/>
              </w:rPr>
              <w:t xml:space="preserve">户外设备工艺，满分4分</w:t>
            </w:r>
            <w:r>
              <w:rPr>
                <w:rFonts w:hint="eastAsia" w:ascii="宋体" w:hAnsi="宋体" w:eastAsia="宋体" w:cs="宋体"/>
                <w:b/>
                <w:bCs/>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投标人须提供所投智能教学体测一体机，跑步测试套装（</w:t>
            </w:r>
            <w:r>
              <w:rPr>
                <w:rFonts w:hint="eastAsia" w:ascii="宋体" w:hAnsi="宋体" w:eastAsia="宋体" w:cs="宋体"/>
                <w:sz w:val="21"/>
                <w:szCs w:val="21"/>
                <w:highlight w:val="none"/>
                <w:lang w:val="en-US" w:eastAsia="zh-CN" w:bidi="ar"/>
              </w:rPr>
              <w:t xml:space="preserve">50、</w:t>
            </w:r>
            <w:r>
              <w:rPr>
                <w:rFonts w:hint="eastAsia" w:ascii="宋体" w:hAnsi="宋体" w:eastAsia="宋体" w:cs="宋体"/>
                <w:sz w:val="21"/>
                <w:szCs w:val="21"/>
                <w:highlight w:val="none"/>
                <w:lang w:bidi="ar"/>
              </w:rPr>
              <w:t xml:space="preserve">100米或800/1000米）重点拍摄设备可开启维护部位在开启状态下的内部结构、散热设计、布线规范、防护措施和维护空间；普通室内设备不作拆解展示要求。</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（1）内部结构布局合理，部件安装稳固，散热通道清晰，强弱电布线规范，线缆固定和防护措施完善，后期检查、维修和更换便利，能够较好适应户外长期使用环境的，得4分。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（2）内部结构较规整，部件安装基本稳固，具备基本散热、防护和布线管理措施，能够满足日常运维和户外或半室外使用需要的，得2分。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（3）能够展示基本内部结构，但工艺规整性、防护措施、布线管理或运维便利性一般的，得1分。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（4）未提供相关材料，或材料无法体现户外设备内部结构、散热、防护、布线和运维条件的，不得分。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视频文件的格式为*.mp4或*.avi，视频文件必须为实拍后的文件，不得通过后期剪辑、拼接、倍速、遮挡、特效合成等方式影响测试过程真实性。视频应清晰展示设备整体、测试人员、测试点位、系统界面、异常提示、成绩显示和结果反馈等关键内容。投标人须将视频文件分段压缩为*.zip文件上传（单个文件不得大于50M，所有文件合计不得大于300M）。未提供视频文件或因投标人自身原因视频文件无法打开或视频画面不清晰无法辨认的不得分。上传的演示视频将作为投标文件的组成部分。视频时长总计不超过</w:t>
            </w:r>
            <w:r>
              <w:rPr>
                <w:rFonts w:hint="eastAsia" w:ascii="宋体" w:hAnsi="宋体" w:eastAsia="宋体" w:cs="宋体"/>
                <w:sz w:val="21"/>
                <w:szCs w:val="21"/>
                <w:highlight w:val="none"/>
                <w:lang w:val="en-US" w:eastAsia="zh-CN" w:bidi="ar"/>
              </w:rPr>
              <w:t xml:space="preserve">15</w:t>
            </w:r>
            <w:r>
              <w:rPr>
                <w:rFonts w:hint="eastAsia" w:ascii="宋体" w:hAnsi="宋体" w:eastAsia="宋体" w:cs="宋体"/>
                <w:sz w:val="21"/>
                <w:szCs w:val="21"/>
                <w:highlight w:val="none"/>
                <w:lang w:bidi="ar"/>
              </w:rPr>
              <w:t xml:space="preserve">分钟。）</w:t>
            </w:r>
            <w:r>
              <w:rPr>
                <w:rFonts w:hint="eastAsia" w:ascii="宋体" w:hAnsi="宋体" w:eastAsia="宋体" w:cs="宋体"/>
                <w:sz w:val="21"/>
                <w:szCs w:val="21"/>
                <w:highlight w:val="none"/>
              </w:rPr>
            </w:r>
            <w:r/>
          </w:p>
        </w:tc>
        <w:tc>
          <w:tcPr>
            <w:tcW w:w="295"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11</w:t>
            </w:r>
            <w:r>
              <w:rPr>
                <w:rFonts w:hint="eastAsia" w:ascii="宋体" w:hAnsi="宋体" w:eastAsia="宋体" w:cs="宋体"/>
                <w:sz w:val="21"/>
                <w:szCs w:val="21"/>
                <w:highlight w:val="none"/>
                <w:lang w:bidi="ar"/>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主观分</w:t>
            </w:r>
            <w:r>
              <w:rPr>
                <w:rFonts w:hint="eastAsia" w:ascii="宋体" w:hAnsi="宋体" w:eastAsia="宋体" w:cs="宋体"/>
                <w:sz w:val="21"/>
                <w:szCs w:val="21"/>
                <w:highlight w:val="none"/>
                <w:lang w:bidi="ar"/>
              </w:rPr>
            </w:r>
            <w:r/>
          </w:p>
        </w:tc>
      </w:tr>
      <w:tr>
        <w:trPr>
          <w:trHeight w:val="369"/>
        </w:trPr>
        <w:tc>
          <w:tcPr>
            <w:gridSpan w:val="5"/>
            <w:tcW w:w="8519" w:type="dxa"/>
            <w:vAlign w:val="center"/>
            <w:textDirection w:val="lrTb"/>
            <w:noWrap w:val="false"/>
          </w:tcPr>
          <w:p>
            <w:pPr>
              <w:pStyle w:val="842"/>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3服务</w:t>
            </w:r>
            <w:r>
              <w:rPr>
                <w:rFonts w:hint="eastAsia" w:ascii="宋体" w:hAnsi="宋体" w:eastAsia="宋体" w:cs="宋体"/>
                <w:b/>
                <w:bCs/>
                <w:sz w:val="21"/>
                <w:szCs w:val="21"/>
                <w:highlight w:val="none"/>
              </w:rPr>
            </w:r>
            <w:r/>
          </w:p>
        </w:tc>
      </w:tr>
      <w:tr>
        <w:trPr>
          <w:trHeight w:val="4722"/>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3.1</w:t>
            </w:r>
            <w:r>
              <w:rPr>
                <w:rFonts w:hint="eastAsia" w:ascii="宋体" w:hAnsi="宋体" w:eastAsia="宋体" w:cs="宋体"/>
                <w:sz w:val="21"/>
                <w:szCs w:val="21"/>
                <w:highlight w:val="none"/>
              </w:rPr>
            </w:r>
            <w:r/>
          </w:p>
        </w:tc>
        <w:tc>
          <w:tcPr>
            <w:tcW w:w="451"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项目实施方案</w:t>
            </w:r>
            <w:r>
              <w:rPr>
                <w:rFonts w:hint="eastAsia" w:ascii="宋体" w:hAnsi="宋体" w:eastAsia="宋体" w:cs="宋体"/>
                <w:sz w:val="21"/>
                <w:szCs w:val="21"/>
                <w:highlight w:val="none"/>
                <w:lang w:bidi="ar"/>
              </w:rPr>
            </w:r>
            <w:r/>
          </w:p>
        </w:tc>
        <w:tc>
          <w:tcPr>
            <w:tcW w:w="341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评委根据投标人提供的项目实施方案</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1、实施流程及周期规划（需包括实施流程、项目周期、人员配置与分工）</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（1）方案完整深刻、可行性强、紧贴采购需求的，得2 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（2）方案基本完整、具有一定可行性、基本符合采购需求的，得1分；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（3）方案不合理可行或未提供方案的不得分。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2、风险管控与应急机制（需包括风险管控措施、质量保障措施、应急管理机制）</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（1）方案完整深刻、可行性强、紧贴采购需求的，得2 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（2）方案基本完整、具有一定可行性、基本符合采购需求的，得1分；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（3）方案不合理可行或未提供方案的不得分。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3、设备安装与功能调试（需包括设备电网要求说明、设备安装说明、功能调试说明）</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（1）方案完整深刻、可行性强、紧贴采购需求的，得2 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（2）方案基本完整、具有一定可行性、基本符合采购需求的，得1分；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（3）方案不合理可行或未提供方案的不得分。</w:t>
            </w:r>
            <w:r>
              <w:rPr>
                <w:rFonts w:hint="eastAsia" w:ascii="宋体" w:hAnsi="宋体" w:eastAsia="宋体" w:cs="宋体"/>
                <w:sz w:val="21"/>
                <w:szCs w:val="21"/>
                <w:highlight w:val="none"/>
                <w:lang w:bidi="ar"/>
              </w:rPr>
            </w:r>
            <w:r/>
          </w:p>
        </w:tc>
        <w:tc>
          <w:tcPr>
            <w:tcW w:w="295"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rPr>
                <w:rFonts w:hint="eastAsia" w:ascii="宋体" w:hAnsi="宋体" w:eastAsia="宋体" w:cs="宋体"/>
                <w:sz w:val="21"/>
                <w:szCs w:val="21"/>
                <w:highlight w:val="none"/>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rPr>
                <w:rFonts w:hint="eastAsia" w:ascii="宋体" w:hAnsi="宋体" w:eastAsia="宋体" w:cs="宋体"/>
                <w:sz w:val="21"/>
                <w:szCs w:val="21"/>
                <w:highlight w:val="none"/>
              </w:rPr>
            </w:r>
            <w:r/>
          </w:p>
        </w:tc>
      </w:tr>
      <w:tr>
        <w:trPr>
          <w:trHeight w:val="256"/>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3.2</w:t>
            </w:r>
            <w:r>
              <w:rPr>
                <w:rFonts w:hint="eastAsia" w:ascii="宋体" w:hAnsi="宋体" w:eastAsia="宋体" w:cs="宋体"/>
                <w:sz w:val="21"/>
                <w:szCs w:val="21"/>
                <w:highlight w:val="none"/>
              </w:rPr>
            </w:r>
            <w:r/>
          </w:p>
        </w:tc>
        <w:tc>
          <w:tcPr>
            <w:tcW w:w="451"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技术培训方案</w:t>
            </w:r>
            <w:r>
              <w:rPr>
                <w:rFonts w:hint="eastAsia" w:ascii="宋体" w:hAnsi="宋体" w:eastAsia="宋体" w:cs="宋体"/>
                <w:sz w:val="21"/>
                <w:szCs w:val="21"/>
                <w:highlight w:val="none"/>
              </w:rPr>
            </w:r>
            <w:r/>
          </w:p>
        </w:tc>
        <w:tc>
          <w:tcPr>
            <w:tcW w:w="3411" w:type="dxa"/>
            <w:vAlign w:val="center"/>
            <w:textDirection w:val="lrTb"/>
            <w:noWrap w:val="false"/>
          </w:tcPr>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投标人针对本项目实际使用人群和重点设备提供的技术培训方案进行评分。培训方案应结合体育教师、学校信息网络管理员、设备维护人员等不同对象，明确培训内容、培训方式、实操任务、考核方式和交付成果。</w:t>
            </w:r>
            <w:r>
              <w:rPr>
                <w:rFonts w:hint="eastAsia" w:ascii="宋体" w:hAnsi="宋体" w:eastAsia="宋体" w:cs="宋体"/>
                <w:sz w:val="21"/>
                <w:szCs w:val="21"/>
                <w:highlight w:val="none"/>
              </w:rPr>
            </w:r>
            <w:r/>
          </w:p>
          <w:p>
            <w:pPr>
              <w:pStyle w:val="842"/>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培训内容覆盖及适配性，满分2分</w:t>
            </w:r>
            <w:r>
              <w:rPr>
                <w:rFonts w:hint="eastAsia" w:ascii="宋体" w:hAnsi="宋体" w:eastAsia="宋体" w:cs="宋体"/>
                <w:b/>
                <w:bCs/>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投标人提供《培训内容目录安排及评估方案》，内容应结合本项目所投设备，区分体育教师、学校信息网络管理、设备维护人员等不同使用对象，明确培训模块、培训时长、培训目标、考核方式和达成标准。</w:t>
            </w:r>
            <w:r>
              <w:rPr>
                <w:rFonts w:hint="eastAsia" w:ascii="宋体" w:hAnsi="宋体" w:eastAsia="宋体" w:cs="宋体"/>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内容完整、对象区分清晰、与本项目设备和学校使用场景匹配度高的，得2分；</w:t>
            </w:r>
            <w:r>
              <w:rPr>
                <w:rFonts w:hint="eastAsia" w:ascii="宋体" w:hAnsi="宋体" w:eastAsia="宋体" w:cs="宋体"/>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内容基本完整，能够覆盖主要使用对象和基本培训内容的，得1分；</w:t>
            </w:r>
            <w:r>
              <w:rPr>
                <w:rFonts w:hint="eastAsia" w:ascii="宋体" w:hAnsi="宋体" w:eastAsia="宋体" w:cs="宋体"/>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内容空泛、缺少对象区分或未提供的，不得分。</w:t>
            </w:r>
            <w:r>
              <w:rPr>
                <w:rFonts w:hint="eastAsia" w:ascii="宋体" w:hAnsi="宋体" w:eastAsia="宋体" w:cs="宋体"/>
                <w:sz w:val="21"/>
                <w:szCs w:val="21"/>
                <w:highlight w:val="none"/>
              </w:rPr>
            </w:r>
            <w:r/>
          </w:p>
          <w:p>
            <w:pPr>
              <w:pStyle w:val="842"/>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重点设备实操培训设计，满分2分</w:t>
            </w:r>
            <w:r>
              <w:rPr>
                <w:rFonts w:hint="eastAsia" w:ascii="宋体" w:hAnsi="宋体" w:eastAsia="宋体" w:cs="宋体"/>
                <w:b/>
                <w:bCs/>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投标人提供《重点设备实操培训方案》，内容应至少覆盖 AI 室内运动角、室内体测设备、跑步测试套装、智能教学体测一体机、智慧体育校级平台等重点设备或系统，明确各设备的开关机、项目选择、学生检录、测试组织、成绩查看、异常处理、数据上传、日常维护等实操任务。</w:t>
            </w:r>
            <w:r>
              <w:rPr>
                <w:rFonts w:hint="eastAsia" w:ascii="宋体" w:hAnsi="宋体" w:eastAsia="宋体" w:cs="宋体"/>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内容完整、步骤清晰、案例具体、具有较强现场操作指导价值的，得2分；</w:t>
            </w:r>
            <w:r>
              <w:rPr>
                <w:rFonts w:hint="eastAsia" w:ascii="宋体" w:hAnsi="宋体" w:eastAsia="宋体" w:cs="宋体"/>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内容基本完整，能够覆盖主要设备和基本操作流程的，得1分；</w:t>
            </w:r>
            <w:r>
              <w:rPr>
                <w:rFonts w:hint="eastAsia" w:ascii="宋体" w:hAnsi="宋体" w:eastAsia="宋体" w:cs="宋体"/>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内容空泛、缺少实操步骤或未提供的，不得分。</w:t>
            </w:r>
            <w:r>
              <w:rPr>
                <w:rFonts w:hint="eastAsia" w:ascii="宋体" w:hAnsi="宋体" w:eastAsia="宋体" w:cs="宋体"/>
                <w:sz w:val="21"/>
                <w:szCs w:val="21"/>
                <w:highlight w:val="none"/>
              </w:rPr>
            </w:r>
            <w:r/>
          </w:p>
          <w:p>
            <w:pPr>
              <w:pStyle w:val="842"/>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培训视频目录与样例脚本，满分2分。</w:t>
            </w:r>
            <w:r>
              <w:rPr>
                <w:rFonts w:hint="eastAsia" w:ascii="宋体" w:hAnsi="宋体" w:eastAsia="宋体" w:cs="宋体"/>
                <w:b/>
                <w:bCs/>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拟交付培训视频目录或大纲，内容覆盖主要设备基础操作、教学应用、数据管理、常见故障处理和安全注意事项等；并选择≥1项重点设备或应用场景提供样例脚本，脚本包含视频标题、适用对象、操作步骤、界面说明、常见问题处理和安全提示等。</w:t>
            </w:r>
            <w:r>
              <w:rPr>
                <w:rFonts w:hint="eastAsia" w:ascii="宋体" w:hAnsi="宋体" w:eastAsia="宋体" w:cs="宋体"/>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内容完整、结构清晰、实用性强的，得2分；</w:t>
            </w:r>
            <w:r>
              <w:rPr>
                <w:rFonts w:hint="eastAsia" w:ascii="宋体" w:hAnsi="宋体" w:eastAsia="宋体" w:cs="宋体"/>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内容基本完整、具备一定可操作性的，得1分；</w:t>
            </w:r>
            <w:r>
              <w:rPr>
                <w:rFonts w:hint="eastAsia" w:ascii="宋体" w:hAnsi="宋体" w:eastAsia="宋体" w:cs="宋体"/>
                <w:sz w:val="21"/>
                <w:szCs w:val="21"/>
                <w:highlight w:val="none"/>
              </w:rPr>
            </w:r>
            <w:r/>
          </w:p>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内容空泛、缺少样例脚本或未提供的，不得分。</w:t>
            </w:r>
            <w:r>
              <w:rPr>
                <w:rFonts w:hint="eastAsia" w:ascii="宋体" w:hAnsi="宋体" w:eastAsia="宋体" w:cs="宋体"/>
                <w:sz w:val="21"/>
                <w:szCs w:val="21"/>
                <w:highlight w:val="none"/>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（备注：中标后，投标人应参照投标文件中的视频目录或大纲及样例脚本质量，完成正式培训视频制作与交付。）</w:t>
            </w:r>
            <w:r>
              <w:rPr>
                <w:rFonts w:hint="eastAsia" w:ascii="宋体" w:hAnsi="宋体" w:eastAsia="宋体" w:cs="宋体"/>
                <w:sz w:val="21"/>
                <w:szCs w:val="21"/>
                <w:highlight w:val="none"/>
                <w:lang w:bidi="ar"/>
              </w:rPr>
            </w:r>
            <w:r/>
          </w:p>
        </w:tc>
        <w:tc>
          <w:tcPr>
            <w:tcW w:w="295"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rPr>
                <w:rFonts w:hint="eastAsia" w:ascii="宋体" w:hAnsi="宋体" w:eastAsia="宋体" w:cs="宋体"/>
                <w:sz w:val="21"/>
                <w:szCs w:val="21"/>
                <w:highlight w:val="none"/>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rPr>
                <w:rFonts w:hint="eastAsia" w:ascii="宋体" w:hAnsi="宋体" w:eastAsia="宋体" w:cs="宋体"/>
                <w:sz w:val="21"/>
                <w:szCs w:val="21"/>
                <w:highlight w:val="none"/>
              </w:rPr>
            </w:r>
            <w:r/>
          </w:p>
        </w:tc>
      </w:tr>
      <w:tr>
        <w:trPr>
          <w:trHeight w:val="6766"/>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3.3</w:t>
            </w:r>
            <w:r>
              <w:rPr>
                <w:rFonts w:hint="eastAsia" w:ascii="宋体" w:hAnsi="宋体" w:eastAsia="宋体" w:cs="宋体"/>
                <w:sz w:val="21"/>
                <w:szCs w:val="21"/>
                <w:highlight w:val="none"/>
              </w:rPr>
            </w:r>
            <w:r/>
          </w:p>
        </w:tc>
        <w:tc>
          <w:tcPr>
            <w:tcW w:w="451"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售后服务方案</w:t>
            </w:r>
            <w:r>
              <w:rPr>
                <w:rFonts w:hint="eastAsia" w:ascii="宋体" w:hAnsi="宋体" w:eastAsia="宋体" w:cs="宋体"/>
                <w:sz w:val="21"/>
                <w:szCs w:val="21"/>
                <w:highlight w:val="none"/>
              </w:rPr>
            </w:r>
            <w:r/>
          </w:p>
        </w:tc>
        <w:tc>
          <w:tcPr>
            <w:tcW w:w="3411" w:type="dxa"/>
            <w:vAlign w:val="center"/>
            <w:textDirection w:val="lrTb"/>
            <w:noWrap w:val="false"/>
          </w:tcPr>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评委根据投标人提供的本项目售后服务方案内容包含但不限于：</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1、技术支持与设备维护服务，满分2分。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投标人提供技术支持与设备维护服务方案，内容包括技术支持服务内容、服务响应方式、故障分级、响应时限、问题诊断、软件维护、硬件维护、现场服务和服务闭环记录等。</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1</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方案完整、措施具体、响应机制清晰、能够满足多校设备日常运维需要的，得2分；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2</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方案基本完整、能够基本满足运维需要的，得1分；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方案不合理或未提供的，不得分。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2、产品远程OTA升级与持续运维能力，满分3分。</w:t>
            </w:r>
            <w:r>
              <w:rPr>
                <w:rFonts w:hint="eastAsia" w:ascii="宋体" w:hAnsi="宋体" w:eastAsia="宋体" w:cs="宋体"/>
                <w:b/>
                <w:bCs/>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如支持OTA在线升级，企业能够通过在线方式完成系统更新、功能迭代、问题优化和性能提升。</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1）所投AI室内运动角、室内体测设备、各类跑步测试套装、智能教学体测一体机及智慧体育校级平台等主要产品均支持远程OTA升级，并提供系统界面截图、功能说明、升级记录或相关证明材料的，得3分；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2）部分主要产品支持远程OTA升级，并提供相应证明材料的，得1分；</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3）未体现远程OTA升级能力，或仅提供笼统承诺且无有效证明材料的，不得分。</w:t>
            </w:r>
            <w:r>
              <w:rPr>
                <w:rFonts w:hint="eastAsia" w:ascii="宋体" w:hAnsi="宋体" w:eastAsia="宋体" w:cs="宋体"/>
                <w:sz w:val="21"/>
                <w:szCs w:val="21"/>
                <w:highlight w:val="none"/>
                <w:lang w:bidi="ar"/>
              </w:rPr>
              <w:br w:type="textWrapping" w:clear="all"/>
            </w:r>
            <w:r>
              <w:rPr>
                <w:rFonts w:hint="eastAsia" w:ascii="宋体" w:hAnsi="宋体" w:eastAsia="宋体" w:cs="宋体"/>
                <w:b/>
                <w:bCs/>
                <w:sz w:val="21"/>
                <w:szCs w:val="21"/>
                <w:highlight w:val="none"/>
                <w:lang w:bidi="ar"/>
              </w:rPr>
              <w:t xml:space="preserve">3、备品备件方案（包括但不限于备品备件清单、价格）</w:t>
            </w:r>
            <w:r>
              <w:rPr>
                <w:rFonts w:hint="eastAsia" w:ascii="宋体" w:hAnsi="宋体" w:eastAsia="宋体" w:cs="宋体"/>
                <w:b/>
                <w:bCs/>
                <w:sz w:val="21"/>
                <w:szCs w:val="21"/>
                <w:highlight w:val="none"/>
                <w:lang w:eastAsia="zh-CN" w:bidi="ar"/>
              </w:rPr>
              <w:t xml:space="preserve">，</w:t>
            </w:r>
            <w:r>
              <w:rPr>
                <w:rFonts w:hint="eastAsia" w:ascii="宋体" w:hAnsi="宋体" w:eastAsia="宋体" w:cs="宋体"/>
                <w:b/>
                <w:bCs/>
                <w:sz w:val="21"/>
                <w:szCs w:val="21"/>
                <w:highlight w:val="none"/>
                <w:lang w:val="en-US" w:eastAsia="zh-CN" w:bidi="ar"/>
              </w:rPr>
              <w:t xml:space="preserve">满分2分。</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（1）方案完整详细合理的，得2分； </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（2）方案基本满足采购需求的，得1分； </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（3）方案不合理或未提供方案的不得分。</w:t>
            </w:r>
            <w:r>
              <w:rPr>
                <w:rFonts w:hint="eastAsia" w:ascii="宋体" w:hAnsi="宋体" w:eastAsia="宋体" w:cs="宋体"/>
                <w:sz w:val="21"/>
                <w:szCs w:val="21"/>
                <w:highlight w:val="none"/>
                <w:lang w:bidi="ar"/>
              </w:rPr>
            </w:r>
            <w:r/>
          </w:p>
        </w:tc>
        <w:tc>
          <w:tcPr>
            <w:tcW w:w="295" w:type="dxa"/>
            <w:vAlign w:val="center"/>
            <w:textDirection w:val="lrTb"/>
            <w:noWrap w:val="false"/>
          </w:tcPr>
          <w:p>
            <w:pPr>
              <w:pStyle w:val="842"/>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 xml:space="preserve">7</w:t>
            </w:r>
            <w:r>
              <w:rPr>
                <w:rFonts w:hint="eastAsia" w:ascii="宋体" w:hAnsi="宋体" w:eastAsia="宋体" w:cs="宋体"/>
                <w:sz w:val="21"/>
                <w:szCs w:val="21"/>
                <w:highlight w:val="none"/>
                <w:lang w:eastAsia="zh-CN"/>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主观分</w:t>
            </w:r>
            <w:r>
              <w:rPr>
                <w:rFonts w:hint="eastAsia" w:ascii="宋体" w:hAnsi="宋体" w:eastAsia="宋体" w:cs="宋体"/>
                <w:sz w:val="21"/>
                <w:szCs w:val="21"/>
                <w:highlight w:val="none"/>
              </w:rPr>
            </w:r>
            <w:r/>
          </w:p>
        </w:tc>
      </w:tr>
      <w:tr>
        <w:trPr>
          <w:trHeight w:val="2443"/>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3.4</w:t>
            </w:r>
            <w:r>
              <w:rPr>
                <w:rFonts w:hint="eastAsia" w:ascii="宋体" w:hAnsi="宋体" w:eastAsia="宋体" w:cs="宋体"/>
                <w:sz w:val="21"/>
                <w:szCs w:val="21"/>
                <w:highlight w:val="none"/>
                <w:lang w:bidi="ar"/>
              </w:rPr>
            </w:r>
            <w:r/>
          </w:p>
        </w:tc>
        <w:tc>
          <w:tcPr>
            <w:tcW w:w="451" w:type="dxa"/>
            <w:vAlign w:val="center"/>
            <w:textDirection w:val="lrTb"/>
            <w:noWrap w:val="false"/>
          </w:tcPr>
          <w:p>
            <w:pPr>
              <w:pStyle w:val="842"/>
              <w:jc w:val="center"/>
              <w:spacing w:line="360" w:lineRule="auto"/>
              <w:rPr>
                <w:rFonts w:hint="eastAsia" w:ascii="宋体" w:hAnsi="宋体" w:eastAsia="宋体" w:cs="宋体"/>
                <w:spacing w:val="-1"/>
                <w:sz w:val="21"/>
                <w:szCs w:val="21"/>
                <w:highlight w:val="none"/>
              </w:rPr>
            </w:pPr>
            <w:r>
              <w:rPr>
                <w:rFonts w:hint="eastAsia" w:ascii="宋体" w:hAnsi="宋体" w:eastAsia="宋体" w:cs="宋体"/>
                <w:sz w:val="21"/>
                <w:szCs w:val="21"/>
                <w:highlight w:val="none"/>
              </w:rPr>
              <w:t xml:space="preserve">质保期承诺</w:t>
            </w:r>
            <w:r>
              <w:rPr>
                <w:rFonts w:hint="eastAsia" w:ascii="宋体" w:hAnsi="宋体" w:eastAsia="宋体" w:cs="宋体"/>
                <w:spacing w:val="-1"/>
                <w:sz w:val="21"/>
                <w:szCs w:val="21"/>
                <w:highlight w:val="none"/>
              </w:rPr>
            </w:r>
            <w:r/>
          </w:p>
        </w:tc>
        <w:tc>
          <w:tcPr>
            <w:tcW w:w="3411" w:type="dxa"/>
            <w:vAlign w:val="center"/>
            <w:textDirection w:val="lrTb"/>
            <w:noWrap w:val="false"/>
          </w:tcPr>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项目免费质保期不得低于3年。在采购人要求的免费质保期3年基础上，投标人提供整体项目免费上门质保服务承诺的，每增加1年免费质保期加1分，累计≤3分。（免费质保期，是指覆盖本项目所投设备硬件、软件系统、平台授权、特征库授权及相关配套服务的免费质保期限。质保期内，上门调试、故障维修、核心部件更换、软件升级、授权维护等费用均由投标人承担，采购人及学校不再另行支付费用。）</w:t>
            </w:r>
            <w:r>
              <w:rPr>
                <w:rFonts w:hint="eastAsia" w:ascii="宋体" w:hAnsi="宋体" w:eastAsia="宋体" w:cs="宋体"/>
                <w:sz w:val="21"/>
                <w:szCs w:val="21"/>
                <w:highlight w:val="none"/>
                <w:lang w:bidi="ar"/>
              </w:rPr>
            </w:r>
            <w:r/>
          </w:p>
          <w:p>
            <w:pPr>
              <w:pStyle w:val="842"/>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（提供质保服务承诺书，承诺书格式自拟，未提供或未按要求提供的不得分。）</w:t>
            </w:r>
            <w:r>
              <w:rPr>
                <w:rFonts w:hint="eastAsia" w:ascii="宋体" w:hAnsi="宋体" w:eastAsia="宋体" w:cs="宋体"/>
                <w:sz w:val="21"/>
                <w:szCs w:val="21"/>
                <w:highlight w:val="none"/>
              </w:rPr>
            </w:r>
            <w:r/>
          </w:p>
        </w:tc>
        <w:tc>
          <w:tcPr>
            <w:tcW w:w="295"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lang w:bidi="ar"/>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客观分</w:t>
            </w:r>
            <w:r>
              <w:rPr>
                <w:rFonts w:hint="eastAsia" w:ascii="宋体" w:hAnsi="宋体" w:eastAsia="宋体" w:cs="宋体"/>
                <w:sz w:val="21"/>
                <w:szCs w:val="21"/>
                <w:highlight w:val="none"/>
                <w:lang w:bidi="ar"/>
              </w:rPr>
            </w:r>
            <w:r/>
          </w:p>
        </w:tc>
      </w:tr>
      <w:tr>
        <w:trPr>
          <w:trHeight w:val="369"/>
        </w:trPr>
        <w:tc>
          <w:tcPr>
            <w:gridSpan w:val="5"/>
            <w:tcW w:w="8519" w:type="dxa"/>
            <w:vAlign w:val="center"/>
            <w:textDirection w:val="lrTb"/>
            <w:noWrap w:val="false"/>
          </w:tcPr>
          <w:p>
            <w:pPr>
              <w:pStyle w:val="842"/>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4.业绩</w:t>
            </w:r>
            <w:r>
              <w:rPr>
                <w:rFonts w:hint="eastAsia" w:ascii="宋体" w:hAnsi="宋体" w:eastAsia="宋体" w:cs="宋体"/>
                <w:b/>
                <w:bCs/>
                <w:sz w:val="21"/>
                <w:szCs w:val="21"/>
                <w:highlight w:val="none"/>
              </w:rPr>
            </w:r>
            <w:r/>
          </w:p>
        </w:tc>
      </w:tr>
      <w:tr>
        <w:trPr>
          <w:trHeight w:val="90"/>
        </w:trPr>
        <w:tc>
          <w:tcPr>
            <w:tcW w:w="314"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w:t>
            </w:r>
            <w:r>
              <w:rPr>
                <w:rFonts w:hint="eastAsia" w:ascii="宋体" w:hAnsi="宋体" w:eastAsia="宋体" w:cs="宋体"/>
                <w:sz w:val="21"/>
                <w:szCs w:val="21"/>
                <w:highlight w:val="none"/>
              </w:rPr>
            </w:r>
            <w:r/>
          </w:p>
        </w:tc>
        <w:tc>
          <w:tcPr>
            <w:tcW w:w="451"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投标人业绩</w:t>
            </w:r>
            <w:r>
              <w:rPr>
                <w:rFonts w:hint="eastAsia" w:ascii="宋体" w:hAnsi="宋体" w:eastAsia="宋体" w:cs="宋体"/>
                <w:sz w:val="21"/>
                <w:szCs w:val="21"/>
                <w:highlight w:val="none"/>
              </w:rPr>
            </w:r>
            <w:r/>
          </w:p>
        </w:tc>
        <w:tc>
          <w:tcPr>
            <w:tcW w:w="3411" w:type="dxa"/>
            <w:vAlign w:val="center"/>
            <w:textDirection w:val="lrTb"/>
            <w:noWrap w:val="false"/>
          </w:tcPr>
          <w:p>
            <w:pPr>
              <w:pStyle w:val="842"/>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人提供2023年1月1日（含）以来完成的类似项目业绩（业绩至少包含跑步测试套装及智能教学体测一体机，内容缺项不得分），每提供1个得1分，最多得3分。（时间以合同签订时间为准）。备注：业绩须同时提供：中标通知书、完整合同及设备清单（须清晰可见相应内容）、项目验收证明材料及结款发票扫描件。</w:t>
            </w:r>
            <w:r>
              <w:rPr>
                <w:rFonts w:hint="eastAsia" w:ascii="宋体" w:hAnsi="宋体" w:eastAsia="宋体" w:cs="宋体"/>
                <w:sz w:val="21"/>
                <w:szCs w:val="21"/>
                <w:highlight w:val="none"/>
              </w:rPr>
            </w:r>
            <w:r/>
          </w:p>
        </w:tc>
        <w:tc>
          <w:tcPr>
            <w:tcW w:w="295" w:type="dxa"/>
            <w:vAlign w:val="center"/>
            <w:textDirection w:val="lrTb"/>
            <w:noWrap w:val="false"/>
          </w:tcPr>
          <w:p>
            <w:pPr>
              <w:pStyle w:val="842"/>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
              </w:rPr>
              <w:t xml:space="preserve">3</w:t>
            </w:r>
            <w:r>
              <w:rPr>
                <w:rFonts w:hint="eastAsia" w:ascii="宋体" w:hAnsi="宋体" w:eastAsia="宋体" w:cs="宋体"/>
                <w:sz w:val="21"/>
                <w:szCs w:val="21"/>
                <w:highlight w:val="none"/>
                <w:lang w:eastAsia="zh-CN"/>
              </w:rPr>
            </w:r>
            <w:r/>
          </w:p>
        </w:tc>
        <w:tc>
          <w:tcPr>
            <w:tcW w:w="527" w:type="dxa"/>
            <w:vAlign w:val="center"/>
            <w:textDirection w:val="lrTb"/>
            <w:noWrap w:val="false"/>
          </w:tcPr>
          <w:p>
            <w:pPr>
              <w:pStyle w:val="84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客观分</w:t>
            </w:r>
            <w:r>
              <w:rPr>
                <w:rFonts w:hint="eastAsia" w:ascii="宋体" w:hAnsi="宋体" w:eastAsia="宋体" w:cs="宋体"/>
                <w:sz w:val="21"/>
                <w:szCs w:val="21"/>
                <w:highlight w:val="none"/>
              </w:rPr>
            </w:r>
            <w:r/>
          </w:p>
        </w:tc>
      </w:tr>
      <w:tr>
        <w:trPr>
          <w:trHeight w:val="463"/>
        </w:trPr>
        <w:tc>
          <w:tcPr>
            <w:gridSpan w:val="5"/>
            <w:tcW w:w="8519" w:type="dxa"/>
            <w:vAlign w:val="center"/>
            <w:textDirection w:val="lrTb"/>
            <w:noWrap w:val="false"/>
          </w:tcPr>
          <w:p>
            <w:pPr>
              <w:pStyle w:val="842"/>
              <w:jc w:val="both"/>
              <w:widowControl/>
              <w:rPr>
                <w:rFonts w:hint="eastAsia" w:ascii="宋体" w:hAnsi="宋体" w:eastAsia="宋体" w:cs="宋体"/>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5.政府采购政策</w:t>
            </w:r>
            <w:r>
              <w:rPr>
                <w:rFonts w:hint="eastAsia" w:ascii="宋体" w:hAnsi="宋体" w:eastAsia="宋体" w:cs="宋体"/>
                <w:sz w:val="21"/>
                <w:szCs w:val="21"/>
                <w:highlight w:val="none"/>
                <w:lang w:val="en-US" w:eastAsia="zh-CN" w:bidi="ar"/>
              </w:rPr>
            </w:r>
            <w:r/>
          </w:p>
        </w:tc>
      </w:tr>
      <w:tr>
        <w:trPr>
          <w:trHeight w:val="1632"/>
        </w:trPr>
        <w:tc>
          <w:tcPr>
            <w:tcW w:w="534" w:type="dxa"/>
            <w:vAlign w:val="center"/>
            <w:textDirection w:val="lrTb"/>
            <w:noWrap w:val="false"/>
          </w:tcPr>
          <w:p>
            <w:pPr>
              <w:pStyle w:val="842"/>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sz w:val="21"/>
                <w:szCs w:val="21"/>
                <w:highlight w:val="none"/>
                <w:lang w:bidi="ar"/>
              </w:rPr>
            </w:r>
            <w:r/>
          </w:p>
        </w:tc>
        <w:tc>
          <w:tcPr>
            <w:tcW w:w="770" w:type="dxa"/>
            <w:vAlign w:val="center"/>
            <w:textDirection w:val="lrTb"/>
            <w:noWrap w:val="false"/>
          </w:tcPr>
          <w:p>
            <w:pPr>
              <w:pStyle w:val="842"/>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节能产品</w:t>
            </w:r>
            <w:r>
              <w:rPr>
                <w:rFonts w:hint="eastAsia" w:ascii="宋体" w:hAnsi="宋体" w:eastAsia="宋体" w:cs="宋体"/>
                <w:sz w:val="21"/>
                <w:szCs w:val="21"/>
                <w:highlight w:val="none"/>
                <w:lang w:bidi="ar"/>
              </w:rPr>
            </w:r>
            <w:r/>
          </w:p>
        </w:tc>
        <w:tc>
          <w:tcPr>
            <w:tcW w:w="5812" w:type="dxa"/>
            <w:vAlign w:val="top"/>
            <w:textDirection w:val="lrTb"/>
            <w:noWrap w:val="false"/>
          </w:tcPr>
          <w:p>
            <w:pPr>
              <w:pStyle w:val="842"/>
              <w:jc w:val="left"/>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节能产品：根据财政部、发展改革委、生态环境部、市场监管总局《关于调整优化节能产品、环境标志产品政府采购执行机制的通知》，投标标的如有属于《节能产品政府采购品目清单》（最新一期）内的产品，投标人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bidi="ar"/>
              </w:rPr>
            </w:r>
            <w:r/>
          </w:p>
        </w:tc>
        <w:tc>
          <w:tcPr>
            <w:tcW w:w="503" w:type="dxa"/>
            <w:vAlign w:val="center"/>
            <w:textDirection w:val="lrTb"/>
            <w:noWrap w:val="false"/>
          </w:tcPr>
          <w:p>
            <w:pPr>
              <w:pStyle w:val="842"/>
              <w:jc w:val="center"/>
              <w:keepLines w:val="0"/>
              <w:keepNext w:val="0"/>
              <w:widowControl/>
              <w:rPr>
                <w:rFonts w:hint="eastAsia" w:ascii="宋体" w:hAnsi="宋体" w:eastAsia="宋体" w:cs="宋体"/>
                <w:sz w:val="21"/>
                <w:szCs w:val="21"/>
                <w:highlight w:val="none"/>
                <w:lang w:val="en-US"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sz w:val="21"/>
                <w:szCs w:val="21"/>
                <w:highlight w:val="none"/>
                <w:lang w:val="en-US" w:bidi="ar"/>
              </w:rPr>
            </w:r>
            <w:r/>
          </w:p>
        </w:tc>
        <w:tc>
          <w:tcPr>
            <w:tcW w:w="900" w:type="dxa"/>
            <w:vAlign w:val="center"/>
            <w:textDirection w:val="lrTb"/>
            <w:noWrap w:val="false"/>
          </w:tcPr>
          <w:p>
            <w:pPr>
              <w:pStyle w:val="842"/>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sz w:val="21"/>
                <w:szCs w:val="21"/>
                <w:highlight w:val="none"/>
                <w:lang w:bidi="ar"/>
              </w:rPr>
            </w:r>
            <w:r/>
          </w:p>
        </w:tc>
      </w:tr>
      <w:tr>
        <w:trPr>
          <w:trHeight w:val="1632"/>
        </w:trPr>
        <w:tc>
          <w:tcPr>
            <w:tcW w:w="534" w:type="dxa"/>
            <w:vAlign w:val="center"/>
            <w:textDirection w:val="lrTb"/>
            <w:noWrap w:val="false"/>
          </w:tcPr>
          <w:p>
            <w:pPr>
              <w:pStyle w:val="842"/>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sz w:val="21"/>
                <w:szCs w:val="21"/>
                <w:highlight w:val="none"/>
                <w:lang w:bidi="ar"/>
              </w:rPr>
            </w:r>
            <w:r/>
          </w:p>
        </w:tc>
        <w:tc>
          <w:tcPr>
            <w:tcW w:w="770" w:type="dxa"/>
            <w:vAlign w:val="center"/>
            <w:textDirection w:val="lrTb"/>
            <w:noWrap w:val="false"/>
          </w:tcPr>
          <w:p>
            <w:pPr>
              <w:pStyle w:val="842"/>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环境标志产品</w:t>
            </w:r>
            <w:r>
              <w:rPr>
                <w:rFonts w:hint="eastAsia" w:ascii="宋体" w:hAnsi="宋体" w:eastAsia="宋体" w:cs="宋体"/>
                <w:sz w:val="21"/>
                <w:szCs w:val="21"/>
                <w:highlight w:val="none"/>
                <w:lang w:bidi="ar"/>
              </w:rPr>
            </w:r>
            <w:r/>
          </w:p>
        </w:tc>
        <w:tc>
          <w:tcPr>
            <w:tcW w:w="5812" w:type="dxa"/>
            <w:vAlign w:val="top"/>
            <w:textDirection w:val="lrTb"/>
            <w:noWrap w:val="false"/>
          </w:tcPr>
          <w:p>
            <w:pPr>
              <w:pStyle w:val="842"/>
              <w:jc w:val="left"/>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color w:val="000000"/>
                <w:sz w:val="21"/>
                <w:szCs w:val="21"/>
                <w:highlight w:val="none"/>
              </w:rPr>
              <w:t xml:space="preserve">环境标志产品：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lang w:bidi="ar"/>
              </w:rPr>
            </w:r>
            <w:r/>
          </w:p>
        </w:tc>
        <w:tc>
          <w:tcPr>
            <w:tcW w:w="503" w:type="dxa"/>
            <w:vAlign w:val="center"/>
            <w:textDirection w:val="lrTb"/>
            <w:noWrap w:val="false"/>
          </w:tcPr>
          <w:p>
            <w:pPr>
              <w:pStyle w:val="842"/>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sz w:val="21"/>
                <w:szCs w:val="21"/>
                <w:highlight w:val="none"/>
                <w:lang w:bidi="ar"/>
              </w:rPr>
            </w:r>
            <w:r/>
          </w:p>
        </w:tc>
        <w:tc>
          <w:tcPr>
            <w:tcW w:w="900" w:type="dxa"/>
            <w:vAlign w:val="center"/>
            <w:textDirection w:val="lrTb"/>
            <w:noWrap w:val="false"/>
          </w:tcPr>
          <w:p>
            <w:pPr>
              <w:pStyle w:val="842"/>
              <w:jc w:val="center"/>
              <w:keepLines w:val="0"/>
              <w:keepNext w:val="0"/>
              <w:widowControl/>
              <w:rPr>
                <w:rFonts w:hint="eastAsia" w:ascii="宋体" w:hAnsi="宋体" w:eastAsia="宋体" w:cs="宋体"/>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客观分</w:t>
            </w:r>
            <w:r>
              <w:rPr>
                <w:rFonts w:hint="eastAsia" w:ascii="宋体" w:hAnsi="宋体" w:eastAsia="宋体" w:cs="宋体"/>
                <w:sz w:val="21"/>
                <w:szCs w:val="21"/>
                <w:highlight w:val="none"/>
                <w:lang w:bidi="ar"/>
              </w:rPr>
            </w:r>
            <w:r/>
          </w:p>
        </w:tc>
      </w:tr>
      <w:tr>
        <w:trPr>
          <w:trHeight w:val="391"/>
        </w:trPr>
        <w:tc>
          <w:tcPr>
            <w:gridSpan w:val="2"/>
            <w:tcW w:w="1290"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合计</w:t>
            </w:r>
            <w:r>
              <w:rPr>
                <w:rFonts w:hint="eastAsia" w:ascii="宋体" w:hAnsi="宋体" w:eastAsia="宋体" w:cs="宋体"/>
                <w:sz w:val="21"/>
                <w:szCs w:val="21"/>
                <w:highlight w:val="none"/>
                <w:lang w:bidi="ar"/>
              </w:rPr>
            </w:r>
            <w:r/>
          </w:p>
        </w:tc>
        <w:tc>
          <w:tcPr>
            <w:tcW w:w="3411" w:type="dxa"/>
            <w:vAlign w:val="center"/>
            <w:textDirection w:val="lrTb"/>
            <w:noWrap w:val="false"/>
          </w:tcPr>
          <w:p>
            <w:pPr>
              <w:pStyle w:val="842"/>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1424" w:type="dxa"/>
            <w:vAlign w:val="center"/>
            <w:textDirection w:val="lrTb"/>
            <w:noWrap w:val="false"/>
          </w:tcPr>
          <w:p>
            <w:pPr>
              <w:pStyle w:val="842"/>
              <w:jc w:val="center"/>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100分</w:t>
            </w:r>
            <w:r>
              <w:rPr>
                <w:rFonts w:hint="eastAsia" w:ascii="宋体" w:hAnsi="宋体" w:eastAsia="宋体" w:cs="宋体"/>
                <w:sz w:val="21"/>
                <w:szCs w:val="21"/>
                <w:highlight w:val="none"/>
                <w:lang w:bidi="ar"/>
              </w:rPr>
            </w:r>
            <w:r/>
          </w:p>
        </w:tc>
      </w:tr>
    </w:tbl>
    <w:p>
      <w:pPr>
        <w:pStyle w:val="90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0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00"/>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r>
      <w:r/>
    </w:p>
    <w:p>
      <w:pPr>
        <w:pStyle w:val="90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42"/>
        <w:numPr>
          <w:ilvl w:val="0"/>
          <w:numId w:val="0"/>
        </w:numPr>
        <w:jc w:val="center"/>
        <w:spacing w:line="360" w:lineRule="auto"/>
        <w:rPr>
          <w:rFonts w:hint="eastAsia" w:ascii="宋体" w:hAnsi="宋体" w:eastAsia="宋体" w:cs="宋体"/>
          <w:b/>
          <w:color w:val="000000"/>
          <w:sz w:val="21"/>
          <w:szCs w:val="21"/>
          <w:highlight w:val="none"/>
        </w:rPr>
        <w:outlineLvl w:val="0"/>
      </w:pPr>
      <w:r/>
      <w:bookmarkEnd w:id="116"/>
      <w:r>
        <w:rPr>
          <w:rFonts w:hint="eastAsia" w:ascii="宋体" w:hAnsi="宋体" w:eastAsia="宋体" w:cs="宋体"/>
          <w:b/>
          <w:color w:val="000000"/>
          <w:sz w:val="21"/>
          <w:szCs w:val="21"/>
          <w:highlight w:val="none"/>
          <w:lang w:val="en-US" w:eastAsia="zh-CN" w:bidi="ar-SA"/>
        </w:rPr>
        <w:t xml:space="preserve">第四章</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eastAsia="zh-CN"/>
        </w:rPr>
        <w:t xml:space="preserve">采购需求</w:t>
      </w:r>
      <w:r>
        <w:rPr>
          <w:rFonts w:hint="eastAsia" w:ascii="宋体" w:hAnsi="宋体" w:eastAsia="宋体" w:cs="宋体"/>
          <w:b/>
          <w:color w:val="000000"/>
          <w:sz w:val="21"/>
          <w:szCs w:val="21"/>
          <w:highlight w:val="none"/>
        </w:rPr>
      </w:r>
      <w:r/>
    </w:p>
    <w:p>
      <w:pPr>
        <w:pStyle w:val="842"/>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一、货物需求一览表</w:t>
      </w:r>
      <w:r>
        <w:rPr>
          <w:rFonts w:hint="eastAsia" w:ascii="宋体" w:hAnsi="宋体" w:eastAsia="宋体" w:cs="宋体"/>
          <w:b/>
          <w:color w:val="000000"/>
          <w:sz w:val="21"/>
          <w:szCs w:val="21"/>
          <w:highlight w:val="none"/>
        </w:rPr>
      </w:r>
      <w:r/>
    </w:p>
    <w:tbl>
      <w:tblPr>
        <w:tblpPr w:horzAnchor="margin" w:tblpXSpec="center" w:vertAnchor="text" w:tblpY="158" w:leftFromText="180" w:topFromText="0" w:rightFromText="180" w:bottomFromText="0"/>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2398"/>
        <w:gridCol w:w="917"/>
        <w:gridCol w:w="2240"/>
        <w:gridCol w:w="2539"/>
      </w:tblGrid>
      <w:tr>
        <w:trPr>
          <w:trHeight w:val="567"/>
        </w:trPr>
        <w:tc>
          <w:tcPr>
            <w:tcW w:w="1194" w:type="dxa"/>
            <w:vAlign w:val="center"/>
            <w:textDirection w:val="lrTb"/>
            <w:noWrap w:val="false"/>
          </w:tcPr>
          <w:p>
            <w:pPr>
              <w:pStyle w:val="842"/>
              <w:ind w:firstLine="310"/>
              <w:rPr>
                <w:rFonts w:hint="eastAsia" w:ascii="宋体" w:hAnsi="宋体" w:eastAsia="宋体" w:cs="宋体"/>
                <w:b/>
                <w:sz w:val="21"/>
                <w:szCs w:val="21"/>
                <w:highlight w:val="none"/>
                <w:lang w:eastAsia="zh-CN"/>
              </w:rPr>
              <w:framePr w:vAnchor="page" w:hAnchor="page" w:xAlign="center" w:y="158"/>
            </w:pPr>
            <w:r>
              <w:rPr>
                <w:rFonts w:hint="eastAsia" w:ascii="宋体" w:hAnsi="宋体" w:eastAsia="宋体" w:cs="宋体"/>
                <w:b/>
                <w:sz w:val="21"/>
                <w:szCs w:val="21"/>
                <w:highlight w:val="none"/>
                <w:lang w:val="en-US" w:eastAsia="zh-CN"/>
              </w:rPr>
              <w:t xml:space="preserve">包号</w:t>
            </w:r>
            <w:r>
              <w:rPr>
                <w:rFonts w:hint="eastAsia" w:ascii="宋体" w:hAnsi="宋体" w:eastAsia="宋体" w:cs="宋体"/>
                <w:b/>
                <w:sz w:val="21"/>
                <w:szCs w:val="21"/>
                <w:highlight w:val="none"/>
                <w:lang w:eastAsia="zh-CN"/>
              </w:rPr>
            </w:r>
            <w:r/>
          </w:p>
        </w:tc>
        <w:tc>
          <w:tcPr>
            <w:tcW w:w="2398" w:type="dxa"/>
            <w:vAlign w:val="center"/>
            <w:textDirection w:val="lrTb"/>
            <w:noWrap w:val="false"/>
          </w:tcPr>
          <w:p>
            <w:pPr>
              <w:pStyle w:val="842"/>
              <w:jc w:val="center"/>
              <w:rPr>
                <w:rFonts w:hint="eastAsia" w:ascii="宋体" w:hAnsi="宋体" w:eastAsia="宋体" w:cs="宋体"/>
                <w:b/>
                <w:sz w:val="21"/>
                <w:szCs w:val="21"/>
                <w:highlight w:val="none"/>
              </w:rPr>
              <w:framePr w:vAnchor="page" w:hAnchor="page" w:xAlign="center" w:y="158"/>
            </w:pPr>
            <w:r>
              <w:rPr>
                <w:rFonts w:hint="eastAsia" w:ascii="宋体" w:hAnsi="宋体" w:eastAsia="宋体" w:cs="宋体"/>
                <w:b/>
                <w:sz w:val="21"/>
                <w:szCs w:val="21"/>
                <w:highlight w:val="none"/>
              </w:rPr>
              <w:t xml:space="preserve"> 货物名称</w:t>
            </w:r>
            <w:r>
              <w:rPr>
                <w:rFonts w:hint="eastAsia" w:ascii="宋体" w:hAnsi="宋体" w:eastAsia="宋体" w:cs="宋体"/>
                <w:b/>
                <w:sz w:val="21"/>
                <w:szCs w:val="21"/>
                <w:highlight w:val="none"/>
              </w:rPr>
            </w:r>
            <w:r/>
          </w:p>
        </w:tc>
        <w:tc>
          <w:tcPr>
            <w:tcW w:w="917" w:type="dxa"/>
            <w:vAlign w:val="center"/>
            <w:textDirection w:val="lrTb"/>
            <w:noWrap w:val="false"/>
          </w:tcPr>
          <w:p>
            <w:pPr>
              <w:pStyle w:val="842"/>
              <w:jc w:val="center"/>
              <w:rPr>
                <w:rFonts w:hint="eastAsia" w:ascii="宋体" w:hAnsi="宋体" w:eastAsia="宋体" w:cs="宋体"/>
                <w:b/>
                <w:sz w:val="21"/>
                <w:szCs w:val="21"/>
                <w:highlight w:val="none"/>
              </w:rPr>
              <w:framePr w:vAnchor="page" w:hAnchor="page" w:xAlign="center" w:y="158"/>
            </w:pPr>
            <w:r>
              <w:rPr>
                <w:rFonts w:hint="eastAsia" w:ascii="宋体" w:hAnsi="宋体" w:eastAsia="宋体" w:cs="宋体"/>
                <w:b/>
                <w:sz w:val="21"/>
                <w:szCs w:val="21"/>
                <w:highlight w:val="none"/>
              </w:rPr>
              <w:t xml:space="preserve">数量</w:t>
            </w:r>
            <w:r>
              <w:rPr>
                <w:rFonts w:hint="eastAsia" w:ascii="宋体" w:hAnsi="宋体" w:eastAsia="宋体" w:cs="宋体"/>
                <w:b/>
                <w:sz w:val="21"/>
                <w:szCs w:val="21"/>
                <w:highlight w:val="none"/>
              </w:rPr>
            </w:r>
            <w:r/>
          </w:p>
        </w:tc>
        <w:tc>
          <w:tcPr>
            <w:tcW w:w="2240" w:type="dxa"/>
            <w:vAlign w:val="center"/>
            <w:textDirection w:val="lrTb"/>
            <w:noWrap w:val="false"/>
          </w:tcPr>
          <w:p>
            <w:pPr>
              <w:pStyle w:val="842"/>
              <w:jc w:val="center"/>
              <w:rPr>
                <w:rFonts w:hint="eastAsia" w:ascii="宋体" w:hAnsi="宋体" w:eastAsia="宋体" w:cs="宋体"/>
                <w:b/>
                <w:sz w:val="21"/>
                <w:szCs w:val="21"/>
                <w:highlight w:val="none"/>
              </w:rPr>
              <w:framePr w:vAnchor="page" w:hAnchor="page" w:xAlign="center" w:y="158"/>
            </w:pPr>
            <w:r>
              <w:rPr>
                <w:rFonts w:hint="eastAsia" w:ascii="宋体" w:hAnsi="宋体" w:eastAsia="宋体" w:cs="宋体"/>
                <w:b/>
                <w:sz w:val="21"/>
                <w:szCs w:val="21"/>
                <w:highlight w:val="none"/>
              </w:rPr>
              <w:t xml:space="preserve">交货期</w:t>
            </w:r>
            <w:r>
              <w:rPr>
                <w:rFonts w:hint="eastAsia" w:ascii="宋体" w:hAnsi="宋体" w:eastAsia="宋体" w:cs="宋体"/>
                <w:b/>
                <w:sz w:val="21"/>
                <w:szCs w:val="21"/>
                <w:highlight w:val="none"/>
              </w:rPr>
            </w:r>
            <w:r/>
          </w:p>
        </w:tc>
        <w:tc>
          <w:tcPr>
            <w:tcW w:w="2539" w:type="dxa"/>
            <w:vAlign w:val="center"/>
            <w:textDirection w:val="lrTb"/>
            <w:noWrap w:val="false"/>
          </w:tcPr>
          <w:p>
            <w:pPr>
              <w:pStyle w:val="842"/>
              <w:jc w:val="center"/>
              <w:rPr>
                <w:rFonts w:hint="eastAsia" w:ascii="宋体" w:hAnsi="宋体" w:eastAsia="宋体" w:cs="宋体"/>
                <w:b/>
                <w:sz w:val="21"/>
                <w:szCs w:val="21"/>
                <w:highlight w:val="none"/>
              </w:rPr>
              <w:framePr w:vAnchor="page" w:hAnchor="page" w:xAlign="center" w:y="158"/>
            </w:pPr>
            <w:r>
              <w:rPr>
                <w:rFonts w:hint="eastAsia" w:ascii="宋体" w:hAnsi="宋体" w:eastAsia="宋体" w:cs="宋体"/>
                <w:b/>
                <w:sz w:val="21"/>
                <w:szCs w:val="21"/>
                <w:highlight w:val="none"/>
              </w:rPr>
              <w:t xml:space="preserve">交货地点</w:t>
            </w:r>
            <w:r>
              <w:rPr>
                <w:rFonts w:hint="eastAsia" w:ascii="宋体" w:hAnsi="宋体" w:eastAsia="宋体" w:cs="宋体"/>
                <w:b/>
                <w:sz w:val="21"/>
                <w:szCs w:val="21"/>
                <w:highlight w:val="none"/>
              </w:rPr>
            </w:r>
            <w:r/>
          </w:p>
        </w:tc>
      </w:tr>
      <w:tr>
        <w:trPr>
          <w:trHeight w:val="509"/>
        </w:trPr>
        <w:tc>
          <w:tcPr>
            <w:tcW w:w="1194" w:type="dxa"/>
            <w:vAlign w:val="center"/>
            <w:textDirection w:val="lrTb"/>
            <w:noWrap w:val="false"/>
          </w:tcPr>
          <w:p>
            <w:pPr>
              <w:pStyle w:val="842"/>
              <w:jc w:val="center"/>
              <w:rPr>
                <w:rFonts w:hint="eastAsia" w:ascii="宋体" w:hAnsi="宋体" w:eastAsia="宋体" w:cs="宋体"/>
                <w:sz w:val="21"/>
                <w:szCs w:val="21"/>
                <w:highlight w:val="none"/>
              </w:rPr>
              <w:framePr w:vAnchor="page" w:hAnchor="page" w:xAlign="center" w:y="158"/>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398" w:type="dxa"/>
            <w:vAlign w:val="center"/>
            <w:textDirection w:val="lrTb"/>
            <w:noWrap w:val="false"/>
          </w:tcPr>
          <w:p>
            <w:pPr>
              <w:pStyle w:val="842"/>
              <w:jc w:val="center"/>
              <w:rPr>
                <w:rFonts w:hint="eastAsia" w:ascii="宋体" w:hAnsi="宋体" w:eastAsia="宋体" w:cs="宋体"/>
                <w:sz w:val="21"/>
                <w:szCs w:val="21"/>
                <w:highlight w:val="none"/>
                <w:lang w:eastAsia="zh-CN"/>
              </w:rPr>
              <w:framePr w:vAnchor="page" w:hAnchor="page" w:xAlign="center" w:y="158"/>
            </w:pPr>
            <w:r>
              <w:rPr>
                <w:rFonts w:hint="eastAsia" w:ascii="宋体" w:hAnsi="宋体" w:eastAsia="宋体" w:cs="宋体"/>
                <w:color w:val="000000"/>
                <w:sz w:val="21"/>
                <w:szCs w:val="21"/>
                <w:highlight w:val="none"/>
              </w:rPr>
              <w:t xml:space="preserve">高淳区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详见分校数量明细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917" w:type="dxa"/>
            <w:vAlign w:val="center"/>
            <w:vMerge w:val="restart"/>
            <w:textDirection w:val="lrTb"/>
            <w:noWrap w:val="false"/>
          </w:tcPr>
          <w:p>
            <w:pPr>
              <w:pStyle w:val="842"/>
              <w:jc w:val="center"/>
              <w:rPr>
                <w:rFonts w:hint="eastAsia" w:ascii="宋体" w:hAnsi="宋体" w:eastAsia="宋体" w:cs="宋体"/>
                <w:sz w:val="21"/>
                <w:szCs w:val="21"/>
                <w:highlight w:val="none"/>
                <w:lang w:val="en-US" w:eastAsia="zh-CN"/>
              </w:rPr>
              <w:framePr w:vAnchor="page" w:hAnchor="page" w:xAlign="center" w:y="158"/>
            </w:pPr>
            <w:r>
              <w:rPr>
                <w:rFonts w:hint="eastAsia" w:ascii="宋体" w:hAnsi="宋体" w:eastAsia="宋体" w:cs="宋体"/>
                <w:color w:val="000000"/>
                <w:sz w:val="21"/>
                <w:szCs w:val="21"/>
                <w:highlight w:val="none"/>
                <w:lang w:val="en-US" w:eastAsia="zh-CN"/>
              </w:rPr>
              <w:t xml:space="preserve">详见：</w:t>
            </w:r>
            <w:r>
              <w:rPr>
                <w:rFonts w:hint="eastAsia" w:ascii="宋体" w:hAnsi="宋体" w:eastAsia="宋体" w:cs="宋体"/>
                <w:color w:val="000000"/>
                <w:sz w:val="21"/>
                <w:szCs w:val="21"/>
                <w:highlight w:val="none"/>
              </w:rPr>
              <w:t xml:space="preserve">分校数量明细</w:t>
            </w:r>
            <w:r>
              <w:rPr>
                <w:rFonts w:hint="eastAsia" w:ascii="宋体" w:hAnsi="宋体" w:eastAsia="宋体" w:cs="宋体"/>
                <w:sz w:val="21"/>
                <w:szCs w:val="21"/>
                <w:highlight w:val="none"/>
                <w:lang w:val="en-US" w:eastAsia="zh-CN"/>
              </w:rPr>
            </w:r>
            <w:r/>
          </w:p>
        </w:tc>
        <w:tc>
          <w:tcPr>
            <w:tcW w:w="2240" w:type="dxa"/>
            <w:vAlign w:val="center"/>
            <w:vMerge w:val="restart"/>
            <w:textDirection w:val="lrTb"/>
            <w:noWrap w:val="false"/>
          </w:tcPr>
          <w:p>
            <w:pPr>
              <w:pStyle w:val="842"/>
              <w:jc w:val="center"/>
              <w:rPr>
                <w:rFonts w:hint="eastAsia" w:ascii="宋体" w:hAnsi="宋体" w:eastAsia="宋体" w:cs="宋体"/>
                <w:sz w:val="21"/>
                <w:szCs w:val="21"/>
                <w:highlight w:val="none"/>
              </w:rPr>
              <w:framePr w:vAnchor="page" w:hAnchor="page" w:xAlign="center" w:y="158"/>
            </w:pPr>
            <w:r>
              <w:rPr>
                <w:rFonts w:hint="eastAsia" w:ascii="宋体" w:hAnsi="宋体" w:eastAsia="宋体" w:cs="宋体"/>
                <w:color w:val="000000"/>
                <w:sz w:val="21"/>
                <w:szCs w:val="21"/>
                <w:highlight w:val="none"/>
                <w:lang w:val="en-US" w:eastAsia="zh-CN"/>
              </w:rPr>
              <w:t xml:space="preserve">自签订合同之日起90天</w:t>
            </w:r>
            <w:r>
              <w:rPr>
                <w:rFonts w:hint="eastAsia" w:ascii="宋体" w:hAnsi="宋体" w:eastAsia="宋体" w:cs="宋体"/>
                <w:sz w:val="21"/>
                <w:szCs w:val="21"/>
                <w:highlight w:val="none"/>
              </w:rPr>
            </w:r>
            <w:r/>
          </w:p>
        </w:tc>
        <w:tc>
          <w:tcPr>
            <w:tcW w:w="2539" w:type="dxa"/>
            <w:vAlign w:val="center"/>
            <w:vMerge w:val="restart"/>
            <w:textDirection w:val="lrTb"/>
            <w:noWrap w:val="false"/>
          </w:tcPr>
          <w:p>
            <w:pPr>
              <w:pStyle w:val="842"/>
              <w:jc w:val="center"/>
              <w:rPr>
                <w:rFonts w:hint="eastAsia" w:ascii="宋体" w:hAnsi="宋体" w:eastAsia="宋体" w:cs="宋体"/>
                <w:sz w:val="21"/>
                <w:szCs w:val="21"/>
                <w:highlight w:val="none"/>
                <w:lang w:val="en-US" w:eastAsia="zh-CN"/>
              </w:rPr>
              <w:framePr w:vAnchor="page" w:hAnchor="page" w:xAlign="center" w:y="158"/>
            </w:pPr>
            <w:r>
              <w:rPr>
                <w:rFonts w:hint="eastAsia" w:ascii="宋体" w:hAnsi="宋体" w:eastAsia="宋体" w:cs="宋体"/>
                <w:sz w:val="21"/>
                <w:szCs w:val="21"/>
                <w:highlight w:val="none"/>
                <w:lang w:val="en-US" w:eastAsia="zh-CN"/>
              </w:rPr>
              <w:t xml:space="preserve">详见：</w:t>
            </w:r>
            <w:r>
              <w:rPr>
                <w:rFonts w:hint="eastAsia" w:ascii="宋体" w:hAnsi="宋体" w:eastAsia="宋体" w:cs="宋体"/>
                <w:color w:val="000000"/>
                <w:sz w:val="21"/>
                <w:szCs w:val="21"/>
                <w:highlight w:val="none"/>
              </w:rPr>
              <w:t xml:space="preserve">分校数量明细</w:t>
            </w:r>
            <w:r>
              <w:rPr>
                <w:rFonts w:hint="eastAsia" w:ascii="宋体" w:hAnsi="宋体" w:eastAsia="宋体" w:cs="宋体"/>
                <w:sz w:val="21"/>
                <w:szCs w:val="21"/>
                <w:highlight w:val="none"/>
                <w:lang w:val="en-US" w:eastAsia="zh-CN"/>
              </w:rPr>
            </w:r>
            <w:r/>
          </w:p>
        </w:tc>
      </w:tr>
      <w:tr>
        <w:trPr>
          <w:trHeight w:val="509"/>
        </w:trPr>
        <w:tc>
          <w:tcPr>
            <w:tcW w:w="1194" w:type="dxa"/>
            <w:vAlign w:val="center"/>
            <w:textDirection w:val="lrTb"/>
            <w:noWrap w:val="false"/>
          </w:tcPr>
          <w:p>
            <w:pPr>
              <w:pStyle w:val="842"/>
              <w:jc w:val="center"/>
              <w:rPr>
                <w:rFonts w:hint="eastAsia" w:ascii="宋体" w:hAnsi="宋体" w:eastAsia="宋体" w:cs="宋体"/>
                <w:sz w:val="21"/>
                <w:szCs w:val="21"/>
                <w:highlight w:val="none"/>
                <w:lang w:val="en-US" w:eastAsia="zh-CN"/>
              </w:rPr>
              <w:framePr w:vAnchor="page" w:hAnchor="page" w:xAlign="center" w:y="158"/>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2398" w:type="dxa"/>
            <w:vAlign w:val="center"/>
            <w:textDirection w:val="lrTb"/>
            <w:noWrap w:val="false"/>
          </w:tcPr>
          <w:p>
            <w:pPr>
              <w:pStyle w:val="842"/>
              <w:jc w:val="center"/>
              <w:rPr>
                <w:rFonts w:hint="eastAsia" w:ascii="宋体" w:hAnsi="宋体" w:eastAsia="宋体" w:cs="宋体"/>
                <w:color w:val="000000"/>
                <w:sz w:val="21"/>
                <w:szCs w:val="21"/>
                <w:highlight w:val="none"/>
                <w:lang w:eastAsia="zh-CN"/>
              </w:rPr>
              <w:framePr w:vAnchor="page" w:hAnchor="page" w:xAlign="center" w:y="158"/>
            </w:pPr>
            <w:r>
              <w:rPr>
                <w:rFonts w:hint="eastAsia" w:ascii="宋体" w:hAnsi="宋体" w:eastAsia="宋体" w:cs="宋体"/>
                <w:color w:val="000000"/>
                <w:sz w:val="21"/>
                <w:szCs w:val="21"/>
                <w:highlight w:val="none"/>
                <w:lang w:val="en-US" w:eastAsia="zh-CN"/>
              </w:rPr>
              <w:t xml:space="preserve">六合区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详见分校数量明细</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917" w:type="dxa"/>
            <w:vAlign w:val="center"/>
            <w:vMerge w:val="continue"/>
            <w:textDirection w:val="lrTb"/>
            <w:noWrap w:val="false"/>
          </w:tcPr>
          <w:p>
            <w:pPr>
              <w:pStyle w:val="842"/>
              <w:jc w:val="center"/>
              <w:rPr>
                <w:rFonts w:hint="eastAsia" w:ascii="宋体" w:hAnsi="宋体" w:eastAsia="宋体" w:cs="宋体"/>
                <w:color w:val="000000"/>
                <w:sz w:val="21"/>
                <w:szCs w:val="21"/>
                <w:highlight w:val="none"/>
                <w:lang w:val="en-US" w:eastAsia="zh-CN"/>
              </w:rPr>
              <w:framePr w:vAnchor="page" w:hAnchor="page" w:xAlign="center" w:y="158"/>
            </w:pPr>
            <w:r>
              <w:rPr>
                <w:rFonts w:hint="eastAsia" w:ascii="宋体" w:hAnsi="宋体" w:eastAsia="宋体" w:cs="宋体"/>
                <w:color w:val="000000"/>
                <w:sz w:val="21"/>
                <w:szCs w:val="21"/>
                <w:highlight w:val="none"/>
                <w:lang w:val="en-US" w:eastAsia="zh-CN"/>
              </w:rPr>
            </w:r>
            <w:r/>
          </w:p>
        </w:tc>
        <w:tc>
          <w:tcPr>
            <w:tcW w:w="2240" w:type="dxa"/>
            <w:vAlign w:val="center"/>
            <w:vMerge w:val="continue"/>
            <w:textDirection w:val="lrTb"/>
            <w:noWrap w:val="false"/>
          </w:tcPr>
          <w:p>
            <w:pPr>
              <w:pStyle w:val="842"/>
              <w:jc w:val="center"/>
              <w:rPr>
                <w:rFonts w:hint="eastAsia" w:ascii="宋体" w:hAnsi="宋体" w:eastAsia="宋体" w:cs="宋体"/>
                <w:color w:val="000000"/>
                <w:sz w:val="21"/>
                <w:szCs w:val="21"/>
                <w:highlight w:val="none"/>
                <w:lang w:val="en-US" w:eastAsia="zh-CN"/>
              </w:rPr>
              <w:framePr w:vAnchor="page" w:hAnchor="page" w:xAlign="center" w:y="158"/>
            </w:pPr>
            <w:r>
              <w:rPr>
                <w:rFonts w:hint="eastAsia" w:ascii="宋体" w:hAnsi="宋体" w:eastAsia="宋体" w:cs="宋体"/>
                <w:color w:val="000000"/>
                <w:sz w:val="21"/>
                <w:szCs w:val="21"/>
                <w:highlight w:val="none"/>
                <w:lang w:val="en-US" w:eastAsia="zh-CN"/>
              </w:rPr>
            </w:r>
            <w:r/>
          </w:p>
        </w:tc>
        <w:tc>
          <w:tcPr>
            <w:tcW w:w="2539" w:type="dxa"/>
            <w:vAlign w:val="center"/>
            <w:vMerge w:val="continue"/>
            <w:textDirection w:val="lrTb"/>
            <w:noWrap w:val="false"/>
          </w:tcPr>
          <w:p>
            <w:pPr>
              <w:pStyle w:val="842"/>
              <w:jc w:val="center"/>
              <w:rPr>
                <w:rFonts w:hint="eastAsia" w:ascii="宋体" w:hAnsi="宋体" w:eastAsia="宋体" w:cs="宋体"/>
                <w:sz w:val="21"/>
                <w:szCs w:val="21"/>
                <w:highlight w:val="none"/>
                <w:lang w:val="en-US" w:eastAsia="zh-CN"/>
              </w:rPr>
              <w:framePr w:vAnchor="page" w:hAnchor="page" w:xAlign="center" w:y="158"/>
            </w:pPr>
            <w:r>
              <w:rPr>
                <w:rFonts w:hint="eastAsia" w:ascii="宋体" w:hAnsi="宋体" w:eastAsia="宋体" w:cs="宋体"/>
                <w:sz w:val="21"/>
                <w:szCs w:val="21"/>
                <w:highlight w:val="none"/>
                <w:lang w:val="en-US" w:eastAsia="zh-CN"/>
              </w:rPr>
            </w:r>
            <w:r/>
          </w:p>
        </w:tc>
      </w:tr>
    </w:tbl>
    <w:p>
      <w:pPr>
        <w:pStyle w:val="842"/>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42"/>
        <w:jc w:val="left"/>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二、技术参数及要求</w:t>
      </w:r>
      <w:r>
        <w:rPr>
          <w:rFonts w:hint="eastAsia" w:ascii="宋体" w:hAnsi="宋体" w:eastAsia="宋体" w:cs="宋体"/>
          <w:b/>
          <w:color w:val="000000"/>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1.功能目标</w:t>
      </w:r>
      <w:r>
        <w:rPr>
          <w:rFonts w:hint="eastAsia" w:ascii="宋体" w:hAnsi="宋体" w:eastAsia="宋体" w:cs="宋体"/>
          <w:sz w:val="21"/>
          <w:szCs w:val="21"/>
          <w:highlight w:val="none"/>
        </w:rPr>
      </w:r>
      <w:r/>
    </w:p>
    <w:p>
      <w:pPr>
        <w:pStyle w:val="842"/>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本项目为六合区、高淳区共 10 所中小学统一采购智慧体育相关设备，配齐智慧体育及配套设备等设施。项目旨在完善学校体育硬件配置，推进校园体育数字化建设，提升体育教学与日常运动保障能力，助力两区中小学体育教育高质量发展。</w:t>
      </w:r>
      <w:r>
        <w:rPr>
          <w:rFonts w:hint="eastAsia" w:ascii="宋体" w:hAnsi="宋体" w:eastAsia="宋体" w:cs="宋体"/>
          <w:sz w:val="21"/>
          <w:szCs w:val="21"/>
          <w:highlight w:val="none"/>
        </w:rPr>
      </w:r>
      <w:r/>
    </w:p>
    <w:p>
      <w:pPr>
        <w:pStyle w:val="842"/>
        <w:numPr>
          <w:ilvl w:val="0"/>
          <w:numId w:val="3"/>
        </w:numPr>
        <w:tabs>
          <w:tab w:val="left" w:pos="312"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设备名称、参数及限价</w:t>
      </w:r>
      <w:r>
        <w:rPr>
          <w:rFonts w:hint="eastAsia" w:ascii="宋体" w:hAnsi="宋体" w:eastAsia="宋体" w:cs="宋体"/>
          <w:sz w:val="21"/>
          <w:szCs w:val="21"/>
          <w:highlight w:val="none"/>
        </w:rPr>
      </w:r>
      <w:r/>
    </w:p>
    <w:p>
      <w:pPr>
        <w:pStyle w:val="871"/>
        <w:rPr>
          <w:rFonts w:hint="eastAsia" w:ascii="宋体" w:hAnsi="宋体" w:eastAsia="宋体" w:cs="宋体"/>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1"/>
          <w:szCs w:val="21"/>
          <w:highlight w:val="none"/>
        </w:rPr>
      </w:r>
      <w:r/>
    </w:p>
    <w:tbl>
      <w:tblPr>
        <w:tblW w:w="888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27"/>
        <w:gridCol w:w="1056"/>
        <w:gridCol w:w="4521"/>
        <w:gridCol w:w="567"/>
        <w:gridCol w:w="534"/>
        <w:gridCol w:w="849"/>
        <w:gridCol w:w="928"/>
      </w:tblGrid>
      <w:tr>
        <w:trPr>
          <w:tblHeade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42"/>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序号</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名称</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技术参数</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42"/>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单位</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42"/>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数量</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单价限价</w:t>
            </w:r>
            <w:r>
              <w:rPr>
                <w:rFonts w:hint="eastAsia" w:ascii="宋体" w:hAnsi="宋体" w:eastAsia="宋体" w:cs="宋体"/>
                <w:b/>
                <w:bCs/>
                <w:sz w:val="21"/>
                <w:szCs w:val="21"/>
                <w:highlight w:val="none"/>
                <w:lang w:bidi="ar"/>
              </w:rPr>
            </w:r>
            <w:r/>
          </w:p>
          <w:p>
            <w:pPr>
              <w:pStyle w:val="842"/>
              <w:jc w:val="center"/>
              <w:keepNex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 xml:space="preserve">（元）</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center"/>
              <w:keepNext/>
              <w:widowControl/>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lang w:bidi="ar"/>
              </w:rPr>
              <w:t xml:space="preserve">是否核心产品</w:t>
            </w:r>
            <w:r>
              <w:rPr>
                <w:rFonts w:hint="eastAsia" w:ascii="宋体" w:hAnsi="宋体" w:eastAsia="宋体" w:cs="宋体"/>
                <w:b/>
                <w:bCs/>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AI室内运动角</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87"/>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AI室内运动角</w:t>
            </w:r>
            <w:r>
              <w:rPr>
                <w:rFonts w:hint="eastAsia" w:ascii="宋体" w:hAnsi="宋体" w:eastAsia="宋体" w:cs="宋体"/>
                <w:sz w:val="21"/>
                <w:szCs w:val="21"/>
                <w:highlight w:val="none"/>
              </w:rPr>
            </w:r>
            <w:r/>
          </w:p>
          <w:p>
            <w:pPr>
              <w:pStyle w:val="887"/>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一、功能要求</w:t>
            </w:r>
            <w:r>
              <w:rPr>
                <w:rFonts w:hint="eastAsia" w:ascii="宋体" w:hAnsi="宋体" w:eastAsia="宋体" w:cs="宋体"/>
                <w:sz w:val="21"/>
                <w:szCs w:val="21"/>
                <w:highlight w:val="none"/>
              </w:rPr>
            </w:r>
            <w:r/>
          </w:p>
          <w:p>
            <w:pPr>
              <w:pStyle w:val="887"/>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支持室内趣味运动训练和体质测试辅助训练两类应用场景。趣味运动训练项目≥8项，可涵盖跳跃类、下蹲类、协调类、反应类等运动内容；体质测试辅助训练项目≥2项，可涵盖跳绳、立定跳远（单人）等常见体测项目。其中，除立定跳远（单人）等需单人依次完成的项目外，系统应支持≥8名学生同时参与训练测试及数据记录。学生可通过举手识别、人脸检录等方式快速进入运动项目。</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；其中，针对本设备的项目数量、项目类型、多人同时参与能力，</w:t>
            </w:r>
            <w:r>
              <w:rPr>
                <w:rFonts w:hint="eastAsia" w:ascii="宋体" w:hAnsi="宋体" w:eastAsia="宋体" w:cs="宋体"/>
                <w:b/>
                <w:bCs/>
                <w:sz w:val="21"/>
                <w:szCs w:val="21"/>
                <w:highlight w:val="none"/>
                <w:lang w:bidi="ar"/>
              </w:rPr>
              <w:t xml:space="preserve">应提供具有CMA标识的检测报告；</w:t>
            </w:r>
            <w:r>
              <w:rPr>
                <w:rFonts w:hint="eastAsia" w:ascii="宋体" w:hAnsi="宋体" w:eastAsia="宋体" w:cs="宋体"/>
                <w:sz w:val="21"/>
                <w:szCs w:val="21"/>
                <w:highlight w:val="none"/>
              </w:rPr>
            </w:r>
            <w:r/>
          </w:p>
          <w:p>
            <w:pPr>
              <w:pStyle w:val="887"/>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2、设备应支持通过移动端或网页端进行项目选择、训练启动、过程控制和结果查看等操作。设备应能够实时记录学生运动数据，并支持数据存储、查询、统计和导出；</w:t>
            </w:r>
            <w:r>
              <w:rPr>
                <w:rFonts w:hint="eastAsia" w:ascii="宋体" w:hAnsi="宋体" w:eastAsia="宋体" w:cs="宋体"/>
                <w:sz w:val="21"/>
                <w:szCs w:val="21"/>
                <w:highlight w:val="none"/>
              </w:rPr>
            </w:r>
            <w:r/>
          </w:p>
          <w:p>
            <w:pPr>
              <w:pStyle w:val="887"/>
              <w:spacing w:beforeAutospacing="0" w:afterAutospacing="0"/>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本设备应支持与“智慧体育校级平台”实现数据联动，能够将本设备生成的测试成绩、训练记录、学生身份信息、项目数据、时间信息、视频或过程记录、异常标记等数据按需上传至平台，实现校级体育数据统一管理。</w:t>
            </w:r>
            <w:r>
              <w:rPr>
                <w:rFonts w:hint="eastAsia" w:ascii="宋体" w:hAnsi="宋体" w:eastAsia="宋体" w:cs="宋体"/>
                <w:sz w:val="21"/>
                <w:szCs w:val="21"/>
                <w:highlight w:val="none"/>
                <w:lang w:eastAsia="zh-CN" w:bidi="ar"/>
              </w:rPr>
              <w:t xml:space="preserve">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bidi="ar"/>
              </w:rPr>
            </w:r>
            <w:r/>
          </w:p>
          <w:p>
            <w:pPr>
              <w:pStyle w:val="887"/>
              <w:spacing w:beforeAutospacing="0" w:afterAutospacing="0"/>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4、本设备大屏或操作界面应支持查看和操作当前运动项目、参与状态、学生身份或分组信息、训练过程、运动成绩、结果反馈、班级统计等内容；可根据教学需要显示个人成绩、项目成绩、班级成绩、排行榜或训练反馈信息，满足学生自主锻炼、教师现场组织和结果查看需要</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rPr>
            </w:r>
            <w:r/>
          </w:p>
          <w:p>
            <w:pPr>
              <w:pStyle w:val="887"/>
              <w:spacing w:beforeAutospacing="0" w:afterAutospacing="0"/>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5、设备质保期内，供应商应提供趣味运动项目、系统界面、音乐或情境主题等内容更新支持，每年提供≥3项更新内容，学校可根据实际教学需求选择是否更新或配置</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87"/>
              <w:spacing w:beforeAutospacing="0" w:afterAutospacing="0"/>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6、本设备主屏在非运动时段，应支持滚动播放运动公告、赛事风采、体育宣传或学校审定的文本图片信息。</w:t>
            </w:r>
            <w:r>
              <w:rPr>
                <w:rFonts w:hint="eastAsia" w:ascii="宋体" w:hAnsi="宋体" w:eastAsia="宋体" w:cs="宋体"/>
                <w:sz w:val="21"/>
                <w:szCs w:val="21"/>
                <w:highlight w:val="none"/>
                <w:lang w:val="en-US" w:eastAsia="zh-CN" w:bidi="ar"/>
              </w:rPr>
            </w:r>
            <w:r/>
          </w:p>
          <w:p>
            <w:pPr>
              <w:pStyle w:val="887"/>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二、技术要求</w:t>
            </w:r>
            <w:r>
              <w:rPr>
                <w:rFonts w:hint="eastAsia" w:ascii="宋体" w:hAnsi="宋体" w:eastAsia="宋体" w:cs="宋体"/>
                <w:sz w:val="21"/>
                <w:szCs w:val="21"/>
                <w:highlight w:val="none"/>
              </w:rPr>
            </w:r>
            <w:r/>
          </w:p>
          <w:p>
            <w:pPr>
              <w:pStyle w:val="887"/>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1、设备应至少包含大屏显示单元、图像采集单元、计算处理单元、交互控制单元及必要的安装结构，设备可采用壁挂式或吊装式安装，具体安装方式应适应学校现场空间条件；</w:t>
            </w:r>
            <w:r>
              <w:rPr>
                <w:rFonts w:hint="eastAsia" w:ascii="宋体" w:hAnsi="宋体" w:eastAsia="宋体" w:cs="宋体"/>
                <w:sz w:val="21"/>
                <w:szCs w:val="21"/>
                <w:highlight w:val="none"/>
              </w:rPr>
            </w:r>
            <w:r/>
          </w:p>
          <w:p>
            <w:pPr>
              <w:pStyle w:val="887"/>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2、大屏显示单元尺寸≥55英寸，屏幕亮度≥350cd/㎡，具备HDMI接口、音频播放能力，扬声器总额定功率≥10W。支持定时开关机及断电恢复后自动启动功能，支持开机默认进入指定信号输入通道功能；</w:t>
            </w:r>
            <w:r>
              <w:rPr>
                <w:rFonts w:hint="eastAsia" w:ascii="宋体" w:hAnsi="宋体" w:eastAsia="宋体" w:cs="宋体"/>
                <w:sz w:val="21"/>
                <w:szCs w:val="21"/>
                <w:highlight w:val="none"/>
              </w:rPr>
            </w:r>
            <w:r/>
          </w:p>
          <w:p>
            <w:pPr>
              <w:pStyle w:val="887"/>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3、图像采集单元分辨率≥800万像素，能够满足室内多人运动识别、姿态识别、动作捕捉或运动结果采集需求，并应适应各类不同空间的安装距离和光照条件；</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4、计算处理单元应满足本地运动识别、多人检测、数据记录、结果分析和画面展示等应用需求。处理器性能≥8核CPU或同等性能配置，主频≥2.0GHz，内存≥4GB，存储空间≥64GB，AI算力≥6TOPS或具备同等处理能力。</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室内体测设备</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一、功能要求</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1、单设备支持体育测试项目≥4项，可涵盖立定跳远（单人）、仰卧起坐、跳绳、坐位体前屈等中小学体测项目；同时可支持若干体锻训练项目≥5项，体锻训练项目可兼容同品牌</w:t>
            </w:r>
            <w:r>
              <w:rPr>
                <w:rFonts w:hint="eastAsia" w:ascii="宋体" w:hAnsi="宋体" w:eastAsia="宋体" w:cs="宋体"/>
                <w:sz w:val="21"/>
                <w:szCs w:val="21"/>
                <w:highlight w:val="none"/>
                <w:lang w:val="en-US" w:eastAsia="zh-CN"/>
              </w:rPr>
              <w:t xml:space="preserve">室内</w:t>
            </w:r>
            <w:r>
              <w:rPr>
                <w:rFonts w:hint="eastAsia" w:ascii="宋体" w:hAnsi="宋体" w:eastAsia="宋体" w:cs="宋体"/>
                <w:sz w:val="21"/>
                <w:szCs w:val="21"/>
                <w:highlight w:val="none"/>
              </w:rPr>
              <w:t xml:space="preserve">AI运动角产品的部分项目，用于日常训练、课间锻炼或自主练习。设备应支持在固定点位激活相应测试或训练项目，并支持测试过程数据和成绩数据展示；</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应支持多人测试，并能够对不同测试人员的测试过程数据和成绩数据进行识别、记录和展示。其中，立定跳远（单人）项目测量误差≤1厘米；仰卧起坐项目计数误差≤1个；跳绳项目计数误差≤1%；坐位体前屈项目测量误差≤0.5厘米（有效推动距离）。</w:t>
            </w:r>
            <w:r>
              <w:rPr>
                <w:rFonts w:hint="eastAsia" w:ascii="宋体" w:hAnsi="宋体" w:eastAsia="宋体" w:cs="宋体"/>
                <w:b/>
                <w:bCs/>
                <w:sz w:val="21"/>
                <w:szCs w:val="21"/>
                <w:highlight w:val="none"/>
              </w:rPr>
              <w:t xml:space="preserve">投标人须针对上述功能提供相应证明材料，材料包括产品彩页、系统界面截图等</w:t>
            </w:r>
            <w:r>
              <w:rPr>
                <w:rFonts w:hint="eastAsia" w:ascii="宋体" w:hAnsi="宋体" w:eastAsia="宋体" w:cs="宋体"/>
                <w:sz w:val="21"/>
                <w:szCs w:val="21"/>
                <w:highlight w:val="none"/>
              </w:rPr>
              <w:t xml:space="preserve">；针对本设备的项目数量、项目类型、多人测试能力、各项目测量或计数误差，</w:t>
            </w:r>
            <w:r>
              <w:rPr>
                <w:rFonts w:hint="eastAsia" w:ascii="宋体" w:hAnsi="宋体" w:eastAsia="宋体" w:cs="宋体"/>
                <w:b/>
                <w:bCs/>
                <w:sz w:val="21"/>
                <w:szCs w:val="21"/>
                <w:highlight w:val="none"/>
              </w:rPr>
              <w:t xml:space="preserve">应提供具有CMA标识的检测报告；</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本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设备应支持测试区域干扰提醒和复杂背景下的成绩检测。当无关人员进入测试区域、影响测试过程，或被测试学生背后有人员近距离站立、走动等背景干扰时，系统应能够进行语音提示、界面提示或异常标记，并能够完成识别、计数、测距或成绩判定；</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5、设备应支持留存运动视频回放，并支持通过人工智能识别分析运动过程，为成绩判定、异常动作识别和测试过程复核提供依据；</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6、设备应支持人脸识别检录并自动开始测试，具备语音提示、成绩实时显示及结果反馈等功能，成绩反馈响应时间≤1.5秒。涉及人脸识别的，应支持必要的数据安全保护措施；</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本设备屏幕或操作界面应支持查看和操作当前测试项目、测试点位、学生身份或分组信息、检录状态、测试状态、实时成绩、异常提示、结果反馈等内容；支持教师现场进行项目选择、测试启动、过程查看、成绩确认和结果查看，满足室内多项目体测组织需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8、本设备主屏在非运动时段，应支持滚动播放运动公告、赛事风采、体育宣传或学校审定的文本图片信息。</w:t>
            </w:r>
            <w:r>
              <w:rPr>
                <w:rFonts w:hint="eastAsia" w:ascii="宋体" w:hAnsi="宋体" w:eastAsia="宋体" w:cs="宋体"/>
                <w:sz w:val="21"/>
                <w:szCs w:val="21"/>
                <w:highlight w:val="none"/>
                <w:lang w:val="en-US" w:eastAsia="zh-CN"/>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（一）立定跳远（单人）</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1、支持智能检测立定跳远（单人）有效距离，能够区分左右脚落点，并以身体落地后距离起跳线最近的有效接触点作为成绩判定依据；</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立定跳远（单人）测试过程中的异常动作识别与成绩处理，能够识别起跳踩线、垫步跳、连续起跳、落地区域异常、落地后手后撑、后坐等影响成绩有效性的情形；系统应能够进行语音提示或界面提示，并对无效成绩进行标记或判定。</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（二）仰卧起坐</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1、支持多人仰卧起坐有效次数智能识别；</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仰卧起坐测试过程中的异常动作识别与成绩处理，能够识别未按要求抱头、膝关节姿态异常、明显顶胯离垫、中途离开测试区域、动作未完成等影响成绩有效性的情形；系统应能够进行语音提示或界面提示，并对无效动作或异常成绩进行标记；</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3、支持测试中途终止或人员离开测试区域的识别，系统应能够记录已完成成绩并进行相应提示。</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（三）跳绳项目</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1、支持跳绳有效次数智能识别；</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2、支持跳绳测试过程中的异常动作识别与成绩处理，能够识别中途离开测试点位、明显未按测试要求完成动作等情形；系统应能够进行语音提示或界面提示，并对异常成绩进行标记或过滤；</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3、支持学生自主选择测试点位开展测试；</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4、支持测试时长自主配置，测试时间包括但不限于30秒、60秒、120秒、180秒、240秒等。</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（四）多人坐位体前屈</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1、支持多人坐位体前屈有效推动距离智能检测；</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2、支持坐位体前屈测试过程中的异常动作识别与成绩处理，能够识别双腿明显屈膝、单手推板、测试姿态异常等影响成绩有效性的情形；系统应能够进行语音提示或界面提示，并对无效成绩进行标记或判定。</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二、技术要求</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设备应至少包含大屏显示单元、图像采集单元、计算处理单元、交互控制单元及必要的安装结构，可采用显示设备、摄像头、算力模块等组合方式实现室内体测功能，也可采用触控一体化室内体测设备形态。具体产品形态应满足本项目功能、安装、使用和安全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2、图像采集单元分辨率≥800万像素，能够满足室内多人运动识别、姿态识别、动作捕捉、运动计数、测距或运动结果采集需求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3、计算处理单元应满足本地运动识别、多人检测、数据记录、结果分析、视频回放和画面展示等应用需求。CPU≥8核，主频≥2.0GHz，内存≥4GB，存储空间≥64GB，AI算力≥6TOPS或具备同等处理能力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包含运动数字地标、立定跳远（单人）垫、坐位体前屈配件和仰卧起坐配件等必要配套设施。其中，运动数字地标数量≥8个，立定跳远（单人）垫数量≥1个，坐位体前屈配件数量≥5个，仰卧起坐配件数量≥6个，仰卧起坐配件应为勾脚款或具备同等固定辅助功能。</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center"/>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50米跑测试套装</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本项目可采用单体设备边缘算力或校级算力本地化集中部署两种模式。投标人应在该设备单价中综合考虑所采用算力模式所需的硬件、软件、配件、部署调试及相关分摊费用，采购人无需另行购置算力设备或另行支付其他费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设备应支持中小学设备应支持50米跑和50米×8往返跑项目测试，支持≥6道分道测试的项目测试，能够完成学生检录、起跑识别、终点计时、成绩判定、成绩显示、数据记录和结果上传等功能，适用于学校体育测试、日常训练和体质健康监测等场景；</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设备应支持设备应支持50米跑和50米×8往返跑项目测试，支持≥6道分道测试自动计时和成绩判定，计时误差≤0.01秒；支持多人分道测试或分组测试，并能够对不同被测试学生的测试成绩进行独立记录、显示和管理。</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；针对本设备支持的50米跑、50米×8往返跑测试项目、自动计时精度、≥6道多人测试能力，</w:t>
            </w:r>
            <w:r>
              <w:rPr>
                <w:rFonts w:hint="eastAsia" w:ascii="宋体" w:hAnsi="宋体" w:eastAsia="宋体" w:cs="宋体"/>
                <w:b/>
                <w:bCs/>
                <w:sz w:val="21"/>
                <w:szCs w:val="21"/>
                <w:highlight w:val="none"/>
                <w:lang w:bidi="ar"/>
              </w:rPr>
              <w:t xml:space="preserve">应提供具有CMA标识的检测报告。</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设备应支持起点与终点联动测试，能够通过起跑触发、图像识别、电子计时或其他非穿戴式方式完成起跑信号采集和终点成绩判定。系统应能够对测试开始、途中状态、冲线完成和成绩生成等关键环节进行记录；</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设备应支持测试区域异常提醒。当出现抢跑、串道、未按规定路线完成测试、无关人员进入测试区域、终点附近遮挡或多人接近终点等情况时，系统应能够进行语音提示、界面提示、异常标记或成绩复核提示；</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6、本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7、设备应支持测试过程数据或视频记录留存，能够对起跑、途中跑、冲线等关键环节进行查看或复核，为成绩判定、异常识别和争议处理提供依据；</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8、设备应支持人脸识别、二维码、账号或其他方式进行学生检录和身份绑定，能够实现测试人员与测试成绩的对应记录</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本设备显示界面应支持查看当前测试项目、组别信息、道次信息、学生身份信息、检录状态、起跑状态、冲线成绩、异常提示和测试结果等内容；支持教师现场进行点名检录、测试启动、成绩查看和异常成绩确认，满足50米跑及50米×8往返跑测试组织需要。</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二、技术要求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显显示设备尺寸≥21英寸，能够显示测试项目实时成绩、测试状态、学生信息或测试结果等内容，并具有必要的安全防护措施，满足学校室外或半室外测试场景使用要求。（配置数量可根据学校操场整体跑步测试系统深化设计统筹配置。需单独设置起点应配置显示设备；一校配置多套跑步测试套装并可共用起点，不重复配置。投标人应结合分校配置清单统筹考虑，确保各项目现场组织、成绩显示和结果反馈正常使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起点采集单元应能够采集测试开始信号，可采用起跑信号器、发令装置、视觉识别、电子计时或其他非穿戴式方式实现；终点采集单元应能够采集学生冲线信息，可采用图像采集、视觉识别、电子计时或其他非穿戴式方式实现；</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3、图像采集或识别单元应能够满足50米跑和50米×8跑测试中的人员识别、冲线判定、异常场景识别和成绩复核需求，并应适应学校操场、体育馆或室外跑道等不同测试环境下的安装距离和光照条件；</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 图像采集单元或跑步专用摄像机数量≥2个，分辨率≥800万像素，能够满足50米跑测试中的起点检录、跑道识别、终点判定、多人测试识别和成绩复核需求；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5、摄像头及户外电子类模块防护等级≥IP65，能够满足学校操场、室外跑道等环境下的安装和使用要求；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7、计算处理单元应满足实时计时、多人识别、成绩判定、数据记录、结果分析、视频回放和平台对接等应用需求。CPU≥8核，主频≥2.0GHz，内存≥4GB，存储空间≥64GB，AI算力≥6TOPS或具备同等处理能力；</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8、设备应包含系统正常运行所需的网络交换设备，满足起点、终点、主机、显示终端和平台之间的数据传输需求。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100米跑步测试模块</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本项目可采用单体设备边缘算力或校级算力本地化集中部署两种模式。投标人应在该设备单价中综合考虑所采用算力模式所需的硬件、软件、配件、部署调试及相关分摊费用，采购人无需另行购置算力设备或另行支付其他费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设备应支持100米跑项目测试，支持≥6道点名发令跑，能够实现多人同时参与测试、起点检录、发令起跑、终点计时、成绩判定、成绩显示和数据记录等功能；测试学生躯干通过终点线时，系统应自动记录测试成绩，计时误差≤0.1秒。</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；其中，针对本设备的项目类型、≥6道多人同时参与测试能力、计时误差，</w:t>
            </w:r>
            <w:r>
              <w:rPr>
                <w:rFonts w:hint="eastAsia" w:ascii="宋体" w:hAnsi="宋体" w:eastAsia="宋体" w:cs="宋体"/>
                <w:b/>
                <w:bCs/>
                <w:sz w:val="21"/>
                <w:szCs w:val="21"/>
                <w:highlight w:val="none"/>
                <w:lang w:bidi="ar"/>
              </w:rPr>
              <w:t xml:space="preserve">应提供具有CMA标识的检测报告</w:t>
            </w:r>
            <w:r>
              <w:rPr>
                <w:rFonts w:hint="eastAsia" w:ascii="宋体" w:hAnsi="宋体" w:eastAsia="宋体" w:cs="宋体"/>
                <w:b/>
                <w:bCs/>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3、设备应能够与50米跑测试套装连接或配合使用，形成100米跑项目测试功能；相关模块应能够实现起点、终点、检录、发令、计时、成绩显示和数据上传等流程联动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4、设备应采用计算机视觉、图像识别、电子计时或其他非穿戴式方式实现100米跑测试功能，能够识别或标定跑道起点线、终点线、道边线等跑道标识，为起跑识别、终点判定和成绩记录提供依据</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5、测试人员无需穿戴任何设备。系统应支持通过人脸识别、举手示意、点名检录、移动端检录或其他方式完成测试人员身份确认与测试分组。检录通过后，系统应能够自动进入测试流程，并在发令信号后开始测试</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6、设备应支持抢跑识别、异常成绩记录和异常成绩过滤。当测试人员提前起跑、未按规定跑道完成测试、测试过程异常或终点判定异常时，系统应能够进行语音提示、界面提示、异常标记或成绩复核提示</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7、系统应支持移动端远程控制、点名检录、测试启动、成绩查看等功能，无需额外手动计时或其他辅助设备；</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本设备应支持与“智慧体育校级平台”实现数据联动，能够将本设备生成的测试成绩、训练记录、学生身份信息、项目数据、时间信息、视频或过程记录、异常标记等数据按需上传至平台，实现校级体育数据统一管理</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9、设备应支持成绩实时播报和电子屏幕同步显示测试或训练成绩，成绩反馈响应时间≤1.5秒；</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本设备显示界面应支持查看当前测试项目、组别信息、道次信息、学生身份信息、检录状态、起跑状态、冲线成绩、异常提示和测试结果等内容；支持教师现场进行点名检录、测试启动、成绩查看和异常成绩确认，满足100米跑测试组织需要。</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二、技术要求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1、图像采集单元或跑步专用摄像机数量≥1个，分辨率≥800万像素，能够满足100米跑测试中的起点检录、跑道识别、终点判定、多人测试识别和成绩复核需求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显示设备尺寸≥21英寸，能够显示测试项目实时成绩、测试状态、学生信息或测试结果等内容，并具有必要的安全防护措施，满足学校室外或半室外测试场景使用要求。（配置数量可根据学校操场整体跑步测试系统深化设计统筹配置。需单独设置起点应配置显示设备；一校配置多套跑步测试套装并可共用起点，不重复配置。投标人应结合分校配置清单统筹考虑，确保各项目现场组织、成绩显示和结果反馈正常使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3、设备应具备音频播报或提示能力，扬声器额定功率≥20W，能够满足室外跑道测试场景下的发令提示、成绩播报和异常提醒需求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4、摄像头及户外电子类模块防护等级≥IP65，能够满足学校操场、室外跑道等环境下的安装和使用要求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5、模块硬件应为跑步测试专用图像采集设备或跑步专用摄像机，能够与50米跑测试套装连接使用，并满足100米跑测试项目的数据采集、识别判定和成绩记录需求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6、设备应包含系统正常运行所需的网络交换设备或同等数据传输设备，满足起点、终点、主机、显示终端和平台之间的数据传输需求。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800/1000米跑测试套装</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项目可采用单体设备边缘算力或校级算力本地化集中部署两种模式。投标人应在该设备单价中综合考虑所采用算力模式所需的硬件、软件、配件、部署调试及相关分摊费用，采购人无需另行购置算力设备或另行支付其他费用；</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2、设备应适用于标准田径场地800米、1000米跑项目测试，自带或接入发令设备，能够完成学生检录、统一发令、过程识别、终点判定、成绩记录、成绩显示、异常标记和数据上传等功能；</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3、系统应支持整班统一发令起跑模式，兼容男女混跑专项测试场景，能够同步完成男生1000米与女生800米测试数据采集，实现同场多项目分组分项、无干扰并行测试；</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4、▲系统应支持800米、1000米跑项目测试，支持单场多组循环发令、连续班级批量检录与成绩管理，每组测试人数≥50人，并能够与“智慧体育校级平台”等相关数据管理系统实现测试流程和成绩数据对接。</w:t>
            </w:r>
            <w:r>
              <w:rPr>
                <w:rFonts w:hint="eastAsia" w:ascii="宋体" w:hAnsi="宋体" w:eastAsia="宋体" w:cs="宋体"/>
                <w:b/>
                <w:bCs/>
                <w:sz w:val="21"/>
                <w:szCs w:val="21"/>
                <w:highlight w:val="none"/>
                <w:lang w:bidi="ar"/>
              </w:rPr>
              <w:t xml:space="preserve">投标人须针对上述功能提供相应证明材料，材料包括产品彩页、系统界面截图等</w:t>
            </w:r>
            <w:r>
              <w:rPr>
                <w:rFonts w:hint="eastAsia" w:ascii="宋体" w:hAnsi="宋体" w:eastAsia="宋体" w:cs="宋体"/>
                <w:sz w:val="21"/>
                <w:szCs w:val="21"/>
                <w:highlight w:val="none"/>
                <w:lang w:bidi="ar"/>
              </w:rPr>
              <w:t xml:space="preserve">；其中，针对本设备的项目类型、每组≥50人测试能力、多组循环发令、连续批量检录与成绩管理能力，</w:t>
            </w:r>
            <w:r>
              <w:rPr>
                <w:rFonts w:hint="eastAsia" w:ascii="宋体" w:hAnsi="宋体" w:eastAsia="宋体" w:cs="宋体"/>
                <w:b/>
                <w:bCs/>
                <w:sz w:val="21"/>
                <w:szCs w:val="21"/>
                <w:highlight w:val="none"/>
                <w:lang w:bidi="ar"/>
              </w:rPr>
              <w:t xml:space="preserve">应提供具有CMA标识的检测报告；</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设备应采用计算机视觉、图像识别或其他非穿戴式方式实现测试过程识别与成绩判定。测试人员无需穿戴号码衣、芯片、手环或其他电子辅助设备，系统应能够通过人脸识别、点名检录、分组检录或其他方式自动匹配学生信息并开始测试；</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系统应支持异常成绩识别、异常路径识别和成绩复核提示。当学生出现提前起跑、未按规定路线完成测试、非正常通过终点、连续通过终点时间间隔异常、终点区域遮挡或其他影响成绩有效性的情形时，系统应能够进行语音提示、界面提示、异常标记或成绩过滤；</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7、系统应自动完成成绩判定、排名统计及异常标记，支持按个人、班级、年级、性别、项目等维度生成测试数据；成绩数据支持查询、统计和导出，导出格式应包括Excel等常用标准格式；</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8、设备应支持测试过程数据或视频记录留存，能够对发令起跑、途中跑、终点通过、异常情况等关键环节进行查看或复核，为成绩判定、异常识别和争议处理提供依据；</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本设备应支持与“智慧体育校级平台”实现数据联动，能够将本设备生成的测试成绩、训练记录、学生身份信息、项目数据、时间信息、视频或过程记录、异常标记等数据按需上传至平台，实现校级体育数据统一管理</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本设备显示界面应支持查看当前测试项目、组别信息、学生身份信息、性别分组、测试圈次或过程状态、终点通过情况、实时成绩、异常提示、排名统计和测试结果等内容；支持教师现场进行整班检录、统一发令、分组管理、成绩查看和异常成绩确认，满足800米、1000米及男女混跑场景下的测试组织需要。</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二、技术要求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显示设备尺寸≥21英寸，能够显示测试项目实时成绩、测试状态、学生信息或测试结果等内容，并具有必要的安全防护措施，满足学校室外或半室外测试场景使用要求。（配置数量可根据学校操场整体跑步测试系统深化设计统筹配置。需单独设置起点应配置显示设备；一校配置多套跑步测试套装并可共用起点，不重复配置。投标人应结合分校配置清单统筹考虑，确保各项目现场组织、成绩显示和结果反馈正常使用）</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2、图像采集单元或跑步专用摄像机数量≥2个，分辨率≥800万像素，能够满足800米、1000米跑项目中的人脸检录、过程识别、终点判定、多人测试识别、异常场景识别和成绩复核需求；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3、设备应具备音频播报或提示能力，扬声器额定功率≥20W，能够满足室外跑道测试场景下的发令提示、成绩播报和异常提醒需求；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4、计算处理单元应满足多人识别、过程记录、成绩判定、数据记录、结果分析、视频回放和平台对接等应用需求。CPU≥8核，主频≥2.0GHz，内存≥4GB，存储空间≥64GB，AI算力≥6TOPS或具备同等处理能力；</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5、摄像头及户外电子类模块防护等级≥IP65，能够满足学校操场、室外跑道等环境下的安装和使用要求；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6、设备应包含系统正常运行所需的网络交换设备或同等数据传输设备，满足摄像头、主机、显示终端、发令设备和平台之间的数据传输需求。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47000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bidi="ar"/>
              </w:rPr>
              <w:t xml:space="preserve">智能教学体测一体机</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一、功能要求：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w:t>
            </w:r>
            <w:r>
              <w:rPr>
                <w:rFonts w:hint="eastAsia" w:ascii="宋体" w:hAnsi="宋体" w:eastAsia="宋体" w:cs="宋体"/>
                <w:sz w:val="21"/>
                <w:szCs w:val="21"/>
                <w:highlight w:val="none"/>
              </w:rPr>
              <w:t xml:space="preserve">单设备支持体育测试项目≥4项，可涵盖立定跳远（单人）、仰卧起坐、跳绳、坐位体前屈等中小学体测项目；同时可支持若干体锻训练项目≥5项，体锻训练项目可兼容同品牌</w:t>
            </w:r>
            <w:r>
              <w:rPr>
                <w:rFonts w:hint="eastAsia" w:ascii="宋体" w:hAnsi="宋体" w:eastAsia="宋体" w:cs="宋体"/>
                <w:sz w:val="21"/>
                <w:szCs w:val="21"/>
                <w:highlight w:val="none"/>
                <w:lang w:val="en-US" w:eastAsia="zh-CN"/>
              </w:rPr>
              <w:t xml:space="preserve">室内</w:t>
            </w:r>
            <w:r>
              <w:rPr>
                <w:rFonts w:hint="eastAsia" w:ascii="宋体" w:hAnsi="宋体" w:eastAsia="宋体" w:cs="宋体"/>
                <w:sz w:val="21"/>
                <w:szCs w:val="21"/>
                <w:highlight w:val="none"/>
              </w:rPr>
              <w:t xml:space="preserve">AI运动角产品的部分项目，用于日常训练、课间锻炼或自主练习。设备应支持在固定点位激活相应测试或训练项目；</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应支持多人参与测试或测试，并能够对不同测试人员的测试过程数据和成绩数据进行识别、记录和展示。其中，立定跳远（单人）项目测量误差≤1厘米；仰卧起坐项目计数误差≤1个；跳绳项目计数误差≤1%；坐位体前屈项目测量误差≤0.5厘米（有效推动距离）。</w:t>
            </w:r>
            <w:r>
              <w:rPr>
                <w:rFonts w:hint="eastAsia" w:ascii="宋体" w:hAnsi="宋体" w:eastAsia="宋体" w:cs="宋体"/>
                <w:b/>
                <w:bCs/>
                <w:sz w:val="21"/>
                <w:szCs w:val="21"/>
                <w:highlight w:val="none"/>
              </w:rPr>
              <w:t xml:space="preserve">投标人须针对上述功能提供相应证明材料，材料包括产品彩页、系统界面截图等</w:t>
            </w:r>
            <w:r>
              <w:rPr>
                <w:rFonts w:hint="eastAsia" w:ascii="宋体" w:hAnsi="宋体" w:eastAsia="宋体" w:cs="宋体"/>
                <w:sz w:val="21"/>
                <w:szCs w:val="21"/>
                <w:highlight w:val="none"/>
              </w:rPr>
              <w:t xml:space="preserve">；针对本设备的项目数量、项目类型、多人测试能力、各项目测量或计数误差，应提供具有CMA标识的检测报告；</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本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设备应支持测试区域干扰提醒和复杂背景下的成绩检测。当无关人员进入测试区域、影响测试过程，或被测试学生背后有人员近距离站立、走动等背景干扰时，系统应能够进行语音提示、界面提示或异常标记，并能够完成识别、计数、测距或成绩判定；</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5、设备应支持留存运动视频回放，并支持通过人工智能识别分析运动过程，为成绩判定、异常动作识别和测试过程复核提供依据；</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6、设备应支持人脸识别检录并自动开始测试，具备语音提示、成绩实时显示及结果反馈等功能，成绩反馈响应时间≤1.5秒。涉及人脸识别的，应支持必要的数据安全保护措施；</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本设备大屏或操作界面应支持查看和操作体育测试、体锻训练、数据展示和教学应用等内容；支持显示当前项目、测试点位、学生身份或分组信息、测试状态、运动成绩、异常提示、结果反馈、个人成绩档案、班级或校级运动数据等内容；支持教学视频播放、PPT课件播放、白板书写等教学互动功能，满足体育教学、体测组织和学生自主查询需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8、本设备主屏在非运动时段，应支持滚动播放运动公告、赛事风采、体育宣传或学校审定的文本图片信息。</w:t>
            </w:r>
            <w:r>
              <w:rPr>
                <w:rFonts w:hint="eastAsia" w:ascii="宋体" w:hAnsi="宋体" w:eastAsia="宋体" w:cs="宋体"/>
                <w:sz w:val="21"/>
                <w:szCs w:val="21"/>
                <w:highlight w:val="none"/>
                <w:lang w:val="en-US" w:eastAsia="zh-CN"/>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（一）立定跳远（单人）</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1、支持智能检测立定跳远（单人）有效距离，能够区分左右脚落点，并以身体落地后距离起跳线最近的有效接触点作为成绩判定依据；</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立定跳远（单人）测试过程中的异常动作识别与成绩处理，能够识别起跳踩线、垫步跳、连续起跳、落地区域异常、落地后手后撑、后坐等影响成绩有效性的情形；系统应能够进行语音提示或界面提示，并对无效成绩进行标记或判定。</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（二）仰卧起坐</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1、支持多人仰卧起坐有效次数智能识别；</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仰卧起坐测试过程中的异常动作识别与成绩处理，能够识别未按要求抱头、膝关节姿态异常、明显顶胯离垫、中途离开测试区域、动作未完成等影响成绩有效性的情形；系统应能够进行语音提示或界面提示，并对无效动作或异常成绩进行标记；</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3、支持测试中途终止或人员离开测试区域的识别，系统应能够记录已完成成绩并进行相应提示。</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（三）跳绳项目</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1、支持跳绳有效次数智能识别；</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2、支持跳绳测试过程中的异常动作识别与成绩处理，能够识别中途离开测试点位、明显未按测试要求完成动作等情形；系统应能够进行语音提示或界面提示，并对异常成绩进行标记或过滤；</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3、支持学生自主选择测试点位开展测试；</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4、支持测试时长自主配置，测试时间包括但不限于30秒、60秒、120秒、180秒、240秒等。</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（四）多人坐位体前屈</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1、支持多人坐位体前屈有效推动距离智能检测；</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2、支持坐位体前屈测试过程中的异常动作识别与成绩处理，能够识别双腿明显屈膝、单手推板、测试姿态异常等影响成绩有效性的情形；系统应能够进行语音提示或界面提示，并对无效成绩进行标记或判定。</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（五）运动数据展示</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1、配置数据分析与查看功能，可查看校级整体数据情况，包含实时运动量、运动人次等维度数据；</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2、支持校方各级人员权限查看各项目实时使用情况，可查看各运动项目实时排行榜单，并支持根据年级/性别等类别进行分类查看排行榜单.；</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3、支持运动数据分周榜、月榜等榜单进行查看；</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4、支持学生通过大屏自主查询个人成绩档案，包含过往整体运动数据量、综合能力雷达分布图、各运动项目的成绩综合分析体现；</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5、支持教师权限查看学生运动项目回放视频、分析报告，支持时间切换，支持查看历史数据；</w:t>
            </w:r>
            <w:r>
              <w:rPr>
                <w:rFonts w:hint="eastAsia" w:ascii="宋体" w:hAnsi="宋体" w:eastAsia="宋体" w:cs="宋体"/>
                <w:sz w:val="21"/>
                <w:szCs w:val="21"/>
                <w:highlight w:val="none"/>
                <w:lang w:bidi="ar"/>
              </w:rPr>
            </w:r>
            <w:r/>
          </w:p>
          <w:p>
            <w:pPr>
              <w:pStyle w:val="887"/>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w:t>
            </w:r>
            <w:r>
              <w:rPr>
                <w:rFonts w:hint="eastAsia" w:ascii="宋体" w:hAnsi="宋体" w:eastAsia="宋体" w:cs="宋体"/>
                <w:sz w:val="21"/>
                <w:szCs w:val="21"/>
                <w:highlight w:val="none"/>
              </w:rPr>
              <w:t xml:space="preserve">支持隐私保护设置，可通过后台设置运动数据展示界面不显示学生真实人脸头像。</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二、参数要求：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1、设备应采用一体化设计，至少包含大屏显示单元、图像采集单元、计算处理单元、交互控制单元及必要的安装结构。屏幕尺寸≥55寸，支持触控操作；显示单元应采用钢化玻璃外屏，厚度≥5mm，亮度≥2000nit，分辨率≥3840 * 2160，以满足室外体测场景下的高清展示与交互需求。具体产品形态应满足本项目功能、安装、使用和安全要求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2、图像采集单元分辨率≥800万像素，能够满足室外多人运动识别、姿态识别、动作捕捉运动计数、测距或运动结果采集需求</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计算处理单元应满足本地运动识别、多人检测、数据记录及结果分析等应用需求。CPU≥4核，主频≥1.8GHz，内存≥4GB，存储空间≥64GB，AI算力≥6TOPS或具备同等处理能力。设备应配备必要的外围接口，包括HDMI接口≥2个，USB接口≥2个，千兆网络接口≥1个，并内置额定功率≥20W的扬声器，以保障设备的扩展性与音视频输出能力</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4、设备防护性能应满足室内外复杂环境使用要求，防护等级≥IP55</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包含运动数字地标、立定跳远（单人）垫、坐位体前屈配件和仰卧起坐配件等必要配套设施。其中，运动数字地标数量≥8个，立定跳远（单人）垫数量≥1个，坐位体前屈配件数量≥5个，仰卧起坐配件（勾脚款）数量≥6个。供应商应根据学校实际需求，负责体育相关项目点位的喷绘工作。</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center"/>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是</w:t>
            </w: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运动手环</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一、功能要求</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心率手环旨在提供运动健康监测及数据管理方案。支持自动测量学生心率值，实现测试数据云端存储；支持多种训练项目、运动密度及时间选择，并能实时生成详细课堂数据报告，为体育教学与学生健康管理提供依据；</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设备配套管理界面或教师端应支持查看学生实时心率、心率区间、运动时长、运动强度、运动密度、课堂训练状态、异常预警和课堂报告等内容；支持教师进行班级管理、训练项目选择、课堂数据查看和报告生成，满足体育课堂运动负荷监测与教学管理需要。</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二、技术参数</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1、运动手环（含60个）</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1）佩戴方式：主模式为手腕佩戴，也可通过其他配件兼做臂环；</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2）心率监测系统：测量范围 40bpm - 220bpm，分度值 1bpm，测量准确度 ±5bpm；内置六轴传感器（加速度 + 角速度）。</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3）液晶屏：手环内置液晶屏可以显示实时心率等数据和心率预警提示；</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4）续航与充电：充电时间≤1小时，充满后工作时长≥40 小时；支持便捷充电方式；</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5）防护等级：防尘防水等级≥IP67。</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2、手环数据接收器（其物理形态可以独立或融合）</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1）无遮挡无线通讯距离≥150米；</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2）集成有线和无线网络接口，实时采集的数据上传到指定节点设备；</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3）有持续供电机制，带电工作续航≥10小时。</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3、手环集中充电收纳箱</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1）数量：同时充电数量≥60 个；</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2）充电安全机制：时间设定、满电断充、温度异常断电等安全保护机制。</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4、教师平板（含支架）</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1）屏幕尺寸≥8英寸以上；</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2）CPU内存达到主流配置；</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3）触控方式进行全局管理。</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5、4G/5G路由器（其物理形态可以独立或融合）</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1）采用4G/5G蜂窝网络通信，支持国内主流运营商；</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2）支持WIFI5（2.4GHz和5GHz）以上无线网络，连接速率≥150M；</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3）持续工作时间≥10小时；</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4）含三年运营商流量。</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6、运动手环系统</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1）本平台支持体育教师实时监控年级 / 班级教学情况与学生训练数据，教师可动态追踪课堂训练与作业完成进度。平台整合体质健康测试、体育中考训练、运动会管理等核心场景，具备多维度数据统计分析、个性化学生档案建立、实时课堂数据同步及家校互动功能。</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2）平台支持针对不同班级、不同课程数据的对比分析能力，并能够生成课堂教学报告或课堂对比报告。</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3）平台支持历史数据云端上传和下载功能，本地数据自动上传，数据上传后可以让学校教师、区级研训员、市级研训员依照不同的权限查看数据</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bidi="ar"/>
              </w:rPr>
              <w:t xml:space="preserve">▲本设备应支持与“智慧体育校级平台”实现数据联动，能够将本设备生成的测试成绩、训练记录、学生身份信息、项目数据、时间信息</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过程记录、异常标记等数据按需上传至平台，实现校级体育数据统一管理。相关数据采集、存储、使用和管理应符合国家关于未成年人个人信息保护、个人信息保护和数据安全的相关法律法规要求。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rPr>
              <w:t xml:space="preserve">提供相关承诺书并签章（格式自拟）</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智慧体育校级平台</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1、平台应具备数字化体育设备数据自动汇聚功能，能够接入并汇总本项目部署的AI室内运动角、室内体测设备、跑步测试设备、运动手环等设备采集的体育数据，实现校级体育数据统一管理。</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2、▲平台应具备体育数据管理与分析模块</w:t>
            </w:r>
            <w:r>
              <w:rPr>
                <w:rFonts w:hint="eastAsia" w:ascii="宋体" w:hAnsi="宋体" w:eastAsia="宋体" w:cs="宋体"/>
                <w:sz w:val="21"/>
                <w:szCs w:val="21"/>
                <w:highlight w:val="none"/>
              </w:rPr>
              <w:t xml:space="preserve">，数据类型应包括但不限于体育测试数据、体育锻炼数据、运动心率数据等；应支持按校级、年级、班级、学生、日期、项目、性别等维度进行数据查询、统计分析和可视化呈现；应支持学生个人运动数据分析，能够展示学生体育测试成绩、运动锻炼记录、项目表现、历史变化趋势、综合分析结果，并形成运动建议或分析报告；应支持体育测试评价功能，能够按照系统设定的评价标准对学生体育测试项目进行成绩评价和等级划分，并统计优秀率、良好率、及格率、不合格率等结果。投标人须提供产品彩页、系统界面截图、功能说明及及具有CMA标识的检测报告等证明材料。</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3、平台应支持对接入设备的测试训练的启用、停用等基础管理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平台应具备体育数据录入、导入、导出与上报支持功能，支持用户按权限手动录入、批量导入、修正或上传相关体育数据，并能够按照系统设定的评分标准自动计算成绩得分和评价等级；支持按国家学生体质健康相关数据格式导出测试成绩表格，满足学校数据整理、上报和留存需要。</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平台应具备基础信息与权限管理功能，支持对学校、年级、班级、学生、教师、项目、设备等基础信息进行维护和管理；能够根据管理员、教师、学生等不同角色设置数据查看、数据录入、数据修改、数据导出、设备管理等权限。</w:t>
            </w:r>
            <w:r>
              <w:rPr>
                <w:rFonts w:hint="eastAsia" w:ascii="宋体" w:hAnsi="宋体" w:eastAsia="宋体" w:cs="宋体"/>
                <w:sz w:val="21"/>
                <w:szCs w:val="21"/>
                <w:highlight w:val="none"/>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平台应具备数据安全防护机制，对学生个人信息、体质健康数据、运动数据等进行安全管理，支持数据权限管控、数据传输保护、数据存储保护、操作日志留存和异常访问记录，保障体育数据采集、传输、存储、使用和导出全过程安全。相关数据采集、存储、使用和管理应符合国家关于未成年人个人信息保护、个人信息保护和数据安全的相关法律法规要求。</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w:t>
            </w: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运动地胶</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1、层级构造：整体厚度≥4.5mm，包含≥0.8mm透明PVC + 抗UV涂层（抗刮花）耐磨层，高密度玻璃纤维网（防收缩变形）稳定层 ,PVC闭孔发泡（密度≥0.65g/cm³）发泡层。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2、减震性：垂直变形≥2.8mm；</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3、防滑安全：动摩擦系数0.5~0.6（湿态摩擦损失率≤5%）；</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4、弹性恢复率：≥92%（5KG标准球1m下落测试）；</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5、吸声降噪：撞击噪声降低≥15dB（适用于室内场馆）；</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6、耐磨等级：T级（≥15,000转）；</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7、耐污性：咖啡/油性笔污渍可擦除（表面纳米疏水涂层）；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8、拼接方式：热熔焊接（接缝强度≥本体90%）；</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9、基底要求：平整度≤3mm/2m（可直接铺装旧瓷砖）；</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10、安装：包含拼接和安装，含辅材。                                                                            11、场地文化布置：配套室内运动角，含体育主题文化氛围布置及安装。</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color w:val="000000"/>
                <w:sz w:val="21"/>
                <w:szCs w:val="21"/>
                <w:highlight w:val="none"/>
                <w:lang w:bidi="ar"/>
              </w:rPr>
            </w:pPr>
            <w:r>
              <w:rPr>
                <w:rFonts w:hint="eastAsia" w:ascii="宋体" w:hAnsi="宋体" w:eastAsia="宋体" w:cs="宋体"/>
                <w:sz w:val="21"/>
                <w:szCs w:val="21"/>
                <w:highlight w:val="none"/>
                <w:lang w:bidi="ar"/>
              </w:rPr>
              <w:t xml:space="preserve">12、面积配置：运动地胶铺设面积不少于 15㎡，按项目整体工程量包干，含材料损耗、裁切、拼接、辅材及安装全部费用，总价闭口包干，后期不另行增补。</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室内设备线缆辅材及系统集成</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1、本项目中AI室内运动角/室内体测设备等所需信号线材、电源线、信号传输配件、PDU插座含辅材及相应接头；</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2、材料要求：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1）室内网线：采用六类非屏蔽双绞线，直径≥0.53mm，带十字隔离骨架，带宽250MHz；</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3）PVC管：采用PVC-U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3、辅材：网络水晶头、膨胀螺丝、标贴、胶带、机柜螺丝、扎带等；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4、室内设备调试、安装以及配套线材布线集成；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6、投标报价应包含本项全部辅材及系统集成全部费用，后续不予增补。</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室外设备线缆辅材及系统集成</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1、本项目中智能教学体测一体机等室外设备所需信号线材（100米以内可选用网线进行敷设，超过100米应选用光纤进行敷设）、电源线、信号传输配件、PDU插座含辅材及相应接头；</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2、包含设备安装过程中的基础开挖加固、挖沟开槽，线管、线槽敷设及配套相关基础配件；</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3、施工及材料要求：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1）基础开挖加固：配合室外设备配套预埋件进行相应基础开挖，需采用不低于C20的混凝土进行浇筑并配合振动棒，使混凝土紧密包裹预埋件；</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2）室外网线：采用六类非屏蔽双绞线，双层PE防水耐候护套，直径≥0.53mm，带十字隔离骨架，带宽250MHz；</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3）光纤及配件：采用室外铠装单模4芯光纤及配套配件（光纤熔接盒、尾纤跳线等）；</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4、辅材：网络水晶头、膨胀螺丝、标贴、胶带、机柜螺丝、扎带等；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5、室外设备调试、安装以及配套线材布线集成；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7、投标报价应包含本项全部辅材及系统集成全部费用，后续不予增补。</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A类跑道套装线缆辅材及系统集成</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1、A类跑道套装包含中小学200—300米跑道中所用到的跑步测试套装、配套立杆线缆辅材及其系统集成相关实施内容；</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2、挖沟开槽，线管、线槽敷设，横跨楼宇及行车过道采用DN32、DN50镀锌钢管，沿着操场和楼宇预埋PE25、PE50管，沿着墙面敷设PVC管槽，包含跑步测试套装中所用到的</w:t>
            </w:r>
            <w:r>
              <w:rPr>
                <w:rFonts w:hint="eastAsia" w:ascii="宋体" w:hAnsi="宋体" w:eastAsia="宋体" w:cs="宋体"/>
                <w:sz w:val="21"/>
                <w:szCs w:val="21"/>
                <w:highlight w:val="none"/>
                <w:lang w:eastAsia="zh-CN" w:bidi="ar"/>
              </w:rPr>
              <w:t xml:space="preserve">室外立杆</w:t>
            </w:r>
            <w:r>
              <w:rPr>
                <w:rFonts w:hint="eastAsia" w:ascii="宋体" w:hAnsi="宋体" w:eastAsia="宋体" w:cs="宋体"/>
                <w:sz w:val="21"/>
                <w:szCs w:val="21"/>
                <w:highlight w:val="none"/>
                <w:lang w:bidi="ar"/>
              </w:rPr>
              <w:t xml:space="preserve">及预埋件等配套相关基础配件；</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bidi="ar"/>
              </w:rPr>
              <w:t xml:space="preserve">3、包含A类跑道套装中所需信号线材（100米以内可选用网线进行敷设，超过100米应选用光纤进行敷设）、电源线、信号传输配件、PDU插座含辅材及相应接头</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eastAsia="zh-CN"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4、施工及材料要求：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1）室外立杆：主体材质采用镀锌材质，配有避雷装置，主杆高度≥3.5m，主杆厚度≥6mm，横臂厚度≥3.5mm，</w:t>
            </w:r>
            <w:r>
              <w:rPr>
                <w:rFonts w:hint="eastAsia" w:ascii="宋体" w:hAnsi="宋体" w:eastAsia="宋体" w:cs="宋体"/>
                <w:sz w:val="21"/>
                <w:szCs w:val="21"/>
                <w:highlight w:val="none"/>
              </w:rPr>
              <w:t xml:space="preserve">固定牢固，具备防风、抗倒伏性能，适配户外长期使用</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2）基础开挖加固：配合室外立杆进行相应基础开挖及相关预埋件安装，需采用不低于C20的混凝土进行浇筑并配合振动棒，使混凝土紧密包裹预埋件；</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3）室外汇聚箱：尺寸≥1000*600*600mm，304不锈钢材质，包含网络设备安装立柱，侧面有散热通风开孔，门上有密封胶条，</w:t>
            </w:r>
            <w:r>
              <w:rPr>
                <w:rFonts w:hint="eastAsia" w:ascii="宋体" w:hAnsi="宋体" w:eastAsia="宋体" w:cs="宋体"/>
                <w:sz w:val="21"/>
                <w:szCs w:val="21"/>
                <w:highlight w:val="none"/>
                <w:lang w:eastAsia="zh-CN" w:bidi="ar"/>
              </w:rPr>
              <w:t xml:space="preserve">内配符合安全使用要求的PDU、空气开关、散热风扇、漏电保护器等必要配电及散热组件，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4）室外防水箱：尺寸≥200*300*400mm，304不锈钢材质，安装于室外立杆上，用于放置网络、供电设备，内包含空开漏保等基础供电元器件</w:t>
            </w:r>
            <w:r>
              <w:rPr>
                <w:rFonts w:hint="eastAsia" w:ascii="宋体" w:hAnsi="宋体" w:eastAsia="宋体" w:cs="宋体"/>
                <w:sz w:val="21"/>
                <w:szCs w:val="21"/>
                <w:highlight w:val="none"/>
                <w:lang w:eastAsia="zh-CN" w:bidi="ar"/>
              </w:rPr>
              <w:t xml:space="preserve">，相关组件应选用质量稳定、来源可追溯、符合国家或行业相关安全标准的成熟产品，并满足户外长期运行环境下的安全性、稳定性和维护要求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5）室外网线：采用六类非屏蔽双绞线，双层PE防水耐候护套，直径≥0.53mm，带十字隔离骨架，带宽250MHz；</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6）光纤及配件：采用室外铠装单模4芯光纤及配套配件（光纤熔接盒、尾纤跳线等）；</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8）音频线：采用阻燃 C 级聚氯乙烯绝缘软电缆，规格为ZC-RVV2*0.5mm²音频线；</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5、包含A类跑道套装设备调试、安装以及配套线材布线集成</w:t>
            </w:r>
            <w:r>
              <w:rPr>
                <w:rFonts w:hint="eastAsia" w:ascii="宋体" w:hAnsi="宋体" w:eastAsia="宋体" w:cs="宋体"/>
                <w:sz w:val="21"/>
                <w:szCs w:val="21"/>
                <w:highlight w:val="none"/>
                <w:lang w:eastAsia="zh-CN" w:bidi="ar"/>
              </w:rPr>
              <w:t xml:space="preserve">，设备部署安装应统筹考虑学校既有场地条件、运动空间、安全通行、设施固定、线缆敷设和日常管理要求，不得影响操场及相关体育场地的原有功能、规范使用和安全管理</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7、按照规范接地，保证防雷接地效果；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8、投标报价应包含本项所有辅材及系统集成的全部费用，后续不予增补。</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9、</w:t>
            </w:r>
            <w:r>
              <w:rPr>
                <w:rStyle w:val="892"/>
                <w:rFonts w:hint="eastAsia" w:ascii="宋体" w:hAnsi="宋体" w:eastAsia="宋体" w:cs="宋体"/>
                <w:b w:val="0"/>
                <w:sz w:val="21"/>
                <w:szCs w:val="21"/>
                <w:highlight w:val="none"/>
              </w:rPr>
              <w:t xml:space="preserve">防撞软包</w:t>
            </w:r>
            <w:r>
              <w:rPr>
                <w:rFonts w:hint="eastAsia" w:ascii="宋体" w:hAnsi="宋体" w:eastAsia="宋体" w:cs="宋体"/>
                <w:sz w:val="21"/>
                <w:szCs w:val="21"/>
                <w:highlight w:val="none"/>
              </w:rPr>
              <w:t xml:space="preserve">：设备立柱及外露棱角全覆盖防撞软包；</w:t>
            </w:r>
            <w:r>
              <w:rPr>
                <w:rStyle w:val="892"/>
                <w:rFonts w:hint="eastAsia" w:ascii="宋体" w:hAnsi="宋体" w:eastAsia="宋体" w:cs="宋体"/>
                <w:b w:val="0"/>
                <w:sz w:val="21"/>
                <w:szCs w:val="21"/>
                <w:highlight w:val="none"/>
              </w:rPr>
              <w:t xml:space="preserve">软包防护高度结合中小学生身高设计，防护高度不低于 1.5m</w:t>
            </w:r>
            <w:r>
              <w:rPr>
                <w:rFonts w:hint="eastAsia" w:ascii="宋体" w:hAnsi="宋体" w:eastAsia="宋体" w:cs="宋体"/>
                <w:sz w:val="21"/>
                <w:szCs w:val="21"/>
                <w:highlight w:val="none"/>
              </w:rPr>
              <w:t xml:space="preserve">，耐磨防刮、缓冲防护，规避学生运动磕碰伤害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跑步测试套装及相关户外设备部署应结合学校操场既有功能和现场通行条件进行设计，不得影响操场原有使用功能和安全管理要求。若设备、主杆（横向支杆）、摄像头等部署位置涉及消防车通道，应保证消防车通道净宽≥4.0m、净高≥4.0m，不得影响消防车辆通行和应急使用。</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B类跑道套装线缆辅材及系统集成</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1、B类跑道套装包含中小学300—350米跑道中所用到的跑步测试套装、配套立杆线缆辅材及其系统集成相关实施内容；</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2、挖沟开槽，线管、线槽敷设，横跨楼宇及行车过道采用DN32、DN50镀锌钢管，沿着操场和楼宇预埋PE25、PE50管，沿着墙面敷设PVC管槽，包含跑步测试套装中所用到的室外立杆及预埋件等配套相关基础配件；</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3、包含</w:t>
            </w:r>
            <w:r>
              <w:rPr>
                <w:rFonts w:hint="eastAsia" w:ascii="宋体" w:hAnsi="宋体" w:eastAsia="宋体" w:cs="宋体"/>
                <w:sz w:val="21"/>
                <w:szCs w:val="21"/>
                <w:highlight w:val="none"/>
                <w:lang w:val="en-US" w:eastAsia="zh-CN" w:bidi="ar"/>
              </w:rPr>
              <w:t xml:space="preserve">B</w:t>
            </w:r>
            <w:r>
              <w:rPr>
                <w:rFonts w:hint="eastAsia" w:ascii="宋体" w:hAnsi="宋体" w:eastAsia="宋体" w:cs="宋体"/>
                <w:sz w:val="21"/>
                <w:szCs w:val="21"/>
                <w:highlight w:val="none"/>
                <w:lang w:bidi="ar"/>
              </w:rPr>
              <w:t xml:space="preserve">类跑道套装中所需信号线材（100米以内可选用网线进行敷设，超过100米应选用光纤进行敷设）、电源线、信号传输配件、PDU插座含辅材及相应接头；</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4、施工及材料要求：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1）室外立杆：主体材质采用镀锌材质，配有避雷装置，主杆高度≥3.5m，主杆厚度≥6mm，横臂厚度≥3.5mm，</w:t>
            </w:r>
            <w:r>
              <w:rPr>
                <w:rFonts w:hint="eastAsia" w:ascii="宋体" w:hAnsi="宋体" w:eastAsia="宋体" w:cs="宋体"/>
                <w:sz w:val="21"/>
                <w:szCs w:val="21"/>
                <w:highlight w:val="none"/>
              </w:rPr>
              <w:t xml:space="preserve">固定牢固，具备防风、抗倒伏性能，适配户外长期使用</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2）基础开挖加固：配合室外立杆进行相应基础开挖及相关预埋件安装，需采用不低于C20的混凝土进行浇筑并配合振动棒，使混凝土紧密包裹预埋件；</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3）室外汇聚箱：尺寸≥1000*600*600mm，304不锈钢材质，包含网络设备安装立柱，侧面有散热通风开孔，门上有密封胶条，</w:t>
            </w:r>
            <w:r>
              <w:rPr>
                <w:rFonts w:hint="eastAsia" w:ascii="宋体" w:hAnsi="宋体" w:eastAsia="宋体" w:cs="宋体"/>
                <w:sz w:val="21"/>
                <w:szCs w:val="21"/>
                <w:highlight w:val="none"/>
                <w:lang w:eastAsia="zh-CN" w:bidi="ar"/>
              </w:rPr>
              <w:t xml:space="preserve">内配符合安全使用要求的PDU、空气开关、散热风扇、漏电保护器等必要配电及散热组件，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4）室外防水箱：尺寸≥200*300*400mm，304不锈钢材质，安装于室外立杆上，用于放置网络、供电设备，内包含空开漏保等基础供电元器件</w:t>
            </w:r>
            <w:r>
              <w:rPr>
                <w:rFonts w:hint="eastAsia" w:ascii="宋体" w:hAnsi="宋体" w:eastAsia="宋体" w:cs="宋体"/>
                <w:sz w:val="21"/>
                <w:szCs w:val="21"/>
                <w:highlight w:val="none"/>
                <w:lang w:eastAsia="zh-CN" w:bidi="ar"/>
              </w:rPr>
              <w:t xml:space="preserve">，相关组件应选用质量稳定、来源可追溯、符合国家或行业相关安全标准的成熟产品，并满足户外长期运行环境下的安全性、稳定性和维护要求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5）室外网线：采用六类非屏蔽双绞线，双层PE防水耐候护套，直径≥0.53mm，带十字隔离骨架，带宽250MHz；</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6）光纤及配件：采用室外铠装单模4芯光纤及配套配件（光纤熔接盒、尾纤跳线等）；</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8）音频线：采用阻燃 C 级聚氯乙烯绝缘软电缆，规格为ZC-RVV2*0.5mm²音频线；</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5、包含B类跑道套装设备调试、安装以及配套线材布线集成</w:t>
            </w:r>
            <w:r>
              <w:rPr>
                <w:rFonts w:hint="eastAsia" w:ascii="宋体" w:hAnsi="宋体" w:eastAsia="宋体" w:cs="宋体"/>
                <w:sz w:val="21"/>
                <w:szCs w:val="21"/>
                <w:highlight w:val="none"/>
                <w:lang w:eastAsia="zh-CN" w:bidi="ar"/>
              </w:rPr>
              <w:t xml:space="preserve">，设备部署安装应统筹考虑学校既有场地条件、运动空间、安全通行、设施固定、线缆敷设和日常管理要求，不得影响操场及相关体育场地的原有功能、规范使用和安全管理</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7、规范接地，按照国标规范接地，保证防雷接地效果；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8、投标报价应包含本项所有辅材及系统集成的全部费用，后续不予增补。</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9、</w:t>
            </w:r>
            <w:r>
              <w:rPr>
                <w:rStyle w:val="892"/>
                <w:rFonts w:hint="eastAsia" w:ascii="宋体" w:hAnsi="宋体" w:eastAsia="宋体" w:cs="宋体"/>
                <w:b w:val="0"/>
                <w:sz w:val="21"/>
                <w:szCs w:val="21"/>
                <w:highlight w:val="none"/>
              </w:rPr>
              <w:t xml:space="preserve">防撞软包</w:t>
            </w:r>
            <w:r>
              <w:rPr>
                <w:rFonts w:hint="eastAsia" w:ascii="宋体" w:hAnsi="宋体" w:eastAsia="宋体" w:cs="宋体"/>
                <w:sz w:val="21"/>
                <w:szCs w:val="21"/>
                <w:highlight w:val="none"/>
              </w:rPr>
              <w:t xml:space="preserve">：设备立柱及外露棱角全覆盖防撞软包；</w:t>
            </w:r>
            <w:r>
              <w:rPr>
                <w:rStyle w:val="892"/>
                <w:rFonts w:hint="eastAsia" w:ascii="宋体" w:hAnsi="宋体" w:eastAsia="宋体" w:cs="宋体"/>
                <w:b w:val="0"/>
                <w:sz w:val="21"/>
                <w:szCs w:val="21"/>
                <w:highlight w:val="none"/>
              </w:rPr>
              <w:t xml:space="preserve">软包防护高度结合中小学生身高设计，防护高度不低于 1.5m</w:t>
            </w:r>
            <w:r>
              <w:rPr>
                <w:rFonts w:hint="eastAsia" w:ascii="宋体" w:hAnsi="宋体" w:eastAsia="宋体" w:cs="宋体"/>
                <w:sz w:val="21"/>
                <w:szCs w:val="21"/>
                <w:highlight w:val="none"/>
              </w:rPr>
              <w:t xml:space="preserve">，耐磨防刮、缓冲防护，规避学生运动磕碰伤害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eastAsia="zh-CN"/>
              </w:rPr>
              <w:t xml:space="preserve">跑步测试套装及相关户外设备部署应结合学校操场既有功能和现场通行条件进行设计，不得影响操场原有使用功能和安全管理要求。若设备、主杆（横向支杆）、摄像头等部署位置涉及消防车通道，应保证消防车通道净宽≥4.0m、净高≥4.0m，不得影响消防车辆通行和应急使用。</w:t>
            </w: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C类跑道套装线缆辅材及系统集成</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821" w:type="dxa"/>
            <w:vAlign w:val="center"/>
            <w:textDirection w:val="lrTb"/>
            <w:noWrap w:val="false"/>
          </w:tcPr>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1、C类跑道套装包含中小学350—400米跑道中所用到的跑步测试套装、配套立杆线缆辅材及其系统集成相关实施内容；</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2、挖沟开槽，线管、线槽敷设，横跨楼宇及行车过道采用DN32、DN50镀锌钢管，沿着操场和楼宇预埋PE25、PE50管，沿着墙面敷设PVC管槽，包含跑步测试套装中所用到的</w:t>
            </w:r>
            <w:r>
              <w:rPr>
                <w:rFonts w:hint="eastAsia" w:ascii="宋体" w:hAnsi="宋体" w:eastAsia="宋体" w:cs="宋体"/>
                <w:sz w:val="21"/>
                <w:szCs w:val="21"/>
                <w:highlight w:val="none"/>
                <w:lang w:eastAsia="zh-CN" w:bidi="ar"/>
              </w:rPr>
              <w:t xml:space="preserve">室外立杆</w:t>
            </w:r>
            <w:r>
              <w:rPr>
                <w:rFonts w:hint="eastAsia" w:ascii="宋体" w:hAnsi="宋体" w:eastAsia="宋体" w:cs="宋体"/>
                <w:sz w:val="21"/>
                <w:szCs w:val="21"/>
                <w:highlight w:val="none"/>
                <w:lang w:bidi="ar"/>
              </w:rPr>
              <w:t xml:space="preserve">及预埋件等配套相关基础配件；</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3、包含</w:t>
            </w:r>
            <w:r>
              <w:rPr>
                <w:rFonts w:hint="eastAsia" w:ascii="宋体" w:hAnsi="宋体" w:eastAsia="宋体" w:cs="宋体"/>
                <w:sz w:val="21"/>
                <w:szCs w:val="21"/>
                <w:highlight w:val="none"/>
                <w:lang w:val="en-US" w:eastAsia="zh-CN" w:bidi="ar"/>
              </w:rPr>
              <w:t xml:space="preserve">C</w:t>
            </w:r>
            <w:r>
              <w:rPr>
                <w:rFonts w:hint="eastAsia" w:ascii="宋体" w:hAnsi="宋体" w:eastAsia="宋体" w:cs="宋体"/>
                <w:sz w:val="21"/>
                <w:szCs w:val="21"/>
                <w:highlight w:val="none"/>
                <w:lang w:bidi="ar"/>
              </w:rPr>
              <w:t xml:space="preserve">类跑道套装中所需信号线材（100米以内可选用网线进行敷设，超过100米应选用光纤进行敷设）、电源线、信号传输配件、PDU插座含辅材及相应接头；</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4、施工及材料要求：</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1）室外立杆：主体材质采用镀锌材质，配有避雷装置，主杆高度≥3.5m，主杆厚度≥6mm，横臂厚度≥3.5mm，</w:t>
            </w:r>
            <w:r>
              <w:rPr>
                <w:rFonts w:hint="eastAsia" w:ascii="宋体" w:hAnsi="宋体" w:eastAsia="宋体" w:cs="宋体"/>
                <w:sz w:val="21"/>
                <w:szCs w:val="21"/>
                <w:highlight w:val="none"/>
              </w:rPr>
              <w:t xml:space="preserve">固定牢固，具备防风、抗倒伏性能，适配户外长期使用</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2）基础开挖加固：配合室外立杆进行相应基础开挖及相关预埋件安装，需采用不低于C20的混凝土进行浇筑并配合振动棒，使混凝土紧密包裹预埋件；</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3）室外汇聚箱：尺寸≥1000*600*600mm，304不锈钢材质，包含网络设备安装立柱，侧面有散热通风开孔，门上有密封胶条，</w:t>
            </w:r>
            <w:r>
              <w:rPr>
                <w:rFonts w:hint="eastAsia" w:ascii="宋体" w:hAnsi="宋体" w:eastAsia="宋体" w:cs="宋体"/>
                <w:sz w:val="21"/>
                <w:szCs w:val="21"/>
                <w:highlight w:val="none"/>
                <w:lang w:eastAsia="zh-CN" w:bidi="ar"/>
              </w:rPr>
              <w:t xml:space="preserve">内配符合安全使用要求的PDU、空气开关、散热风扇、漏电保护器等必要配电及散热组件，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4）室外防水箱：尺寸≥200*300*400mm，304不锈钢材质，安装于室外立杆上，用于放置网络、供电设备，内包含空开漏保等基础供电元器件</w:t>
            </w:r>
            <w:r>
              <w:rPr>
                <w:rFonts w:hint="eastAsia" w:ascii="宋体" w:hAnsi="宋体" w:eastAsia="宋体" w:cs="宋体"/>
                <w:sz w:val="21"/>
                <w:szCs w:val="21"/>
                <w:highlight w:val="none"/>
                <w:lang w:eastAsia="zh-CN" w:bidi="ar"/>
              </w:rPr>
              <w:t xml:space="preserve">，相关组件应选用质量稳定、来源可追溯、符合国家或行业相关安全标准的成熟产品，并满足户外长期运行环境下的安全性、稳定性和维护要求</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5）室外网线：采用六类非屏蔽双绞线，双层PE防水耐候护套，直径≥0.53mm，带十字隔离骨架，带宽250MHz；</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6）光纤及配件：采用室外铠装单模4芯光纤及配套配件（光纤熔接盒、尾纤跳线等）；</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7）电源线：采用阻燃 C 级聚氯乙烯绝缘软电缆，规格为 ZC-RVV 3×2.5mm²、ZC-RVV 3×1.5mm²（根据实际需求使用对应规格），</w:t>
            </w:r>
            <w:r>
              <w:rPr>
                <w:rFonts w:hint="eastAsia" w:ascii="宋体" w:hAnsi="宋体" w:eastAsia="宋体" w:cs="宋体"/>
                <w:sz w:val="21"/>
                <w:szCs w:val="21"/>
                <w:highlight w:val="none"/>
              </w:rPr>
              <w:t xml:space="preserve">配套针式冷压端子</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8）音频线：采用阻燃 C 级聚氯乙烯绝缘软电缆，规格为ZC-RVV2*0.5mm²音频线；</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9）PVC管及配件：采用PVC-U</w:t>
            </w:r>
            <w:r>
              <w:rPr>
                <w:rFonts w:hint="eastAsia" w:ascii="宋体" w:hAnsi="宋体" w:eastAsia="宋体" w:cs="宋体"/>
                <w:sz w:val="21"/>
                <w:szCs w:val="21"/>
                <w:highlight w:val="none"/>
              </w:rPr>
              <w:t xml:space="preserve">（硬聚氯乙烯，无增塑剂）</w:t>
            </w:r>
            <w:r>
              <w:rPr>
                <w:rFonts w:hint="eastAsia" w:ascii="宋体" w:hAnsi="宋体" w:eastAsia="宋体" w:cs="宋体"/>
                <w:sz w:val="21"/>
                <w:szCs w:val="21"/>
                <w:highlight w:val="none"/>
                <w:lang w:bidi="ar"/>
              </w:rPr>
              <w:t xml:space="preserve">套管，包含相应的配件（弯头、直接等）；</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10）PE管：采用50*3mm、25*3mmPE材质管材。</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5、包含C类跑道套装设备调试、安装以及配套线材布线集成</w:t>
            </w:r>
            <w:r>
              <w:rPr>
                <w:rFonts w:hint="eastAsia" w:ascii="宋体" w:hAnsi="宋体" w:eastAsia="宋体" w:cs="宋体"/>
                <w:sz w:val="21"/>
                <w:szCs w:val="21"/>
                <w:highlight w:val="none"/>
                <w:lang w:eastAsia="zh-CN" w:bidi="ar"/>
              </w:rPr>
              <w:t xml:space="preserve">，设备部署安装应统筹考虑学校既有场地条件、运动空间、安全通行、设施固定、线缆敷设和日常管理要求，不得影响操场及相关体育场地的原有功能、规范使用和安全管理</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6、机柜线路整理、线路贴标、设备打标示、设备除尘等；</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7、规范接地，按照国标规范接地，保证防雷接地效果；</w:t>
            </w:r>
            <w:r>
              <w:rPr>
                <w:rFonts w:hint="eastAsia" w:ascii="宋体" w:hAnsi="宋体" w:eastAsia="宋体" w:cs="宋体"/>
                <w:sz w:val="21"/>
                <w:szCs w:val="21"/>
                <w:highlight w:val="none"/>
                <w:lang w:bidi="ar"/>
              </w:rPr>
              <w:br w:type="textWrapping" w:clear="all"/>
            </w:r>
            <w:r>
              <w:rPr>
                <w:rFonts w:hint="eastAsia" w:ascii="宋体" w:hAnsi="宋体" w:eastAsia="宋体" w:cs="宋体"/>
                <w:sz w:val="21"/>
                <w:szCs w:val="21"/>
                <w:highlight w:val="none"/>
                <w:lang w:bidi="ar"/>
              </w:rPr>
              <w:t xml:space="preserve">8、投标报价应包含本项所有辅材及系统集成的全部费用，后续不予增补。</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 xml:space="preserve">9、</w:t>
            </w:r>
            <w:r>
              <w:rPr>
                <w:rStyle w:val="892"/>
                <w:rFonts w:hint="eastAsia" w:ascii="宋体" w:hAnsi="宋体" w:eastAsia="宋体" w:cs="宋体"/>
                <w:b w:val="0"/>
                <w:sz w:val="21"/>
                <w:szCs w:val="21"/>
                <w:highlight w:val="none"/>
              </w:rPr>
              <w:t xml:space="preserve">防撞软包</w:t>
            </w:r>
            <w:r>
              <w:rPr>
                <w:rFonts w:hint="eastAsia" w:ascii="宋体" w:hAnsi="宋体" w:eastAsia="宋体" w:cs="宋体"/>
                <w:sz w:val="21"/>
                <w:szCs w:val="21"/>
                <w:highlight w:val="none"/>
              </w:rPr>
              <w:t xml:space="preserve">：设备立柱及外露棱角全覆盖防撞软包；</w:t>
            </w:r>
            <w:r>
              <w:rPr>
                <w:rStyle w:val="892"/>
                <w:rFonts w:hint="eastAsia" w:ascii="宋体" w:hAnsi="宋体" w:eastAsia="宋体" w:cs="宋体"/>
                <w:b w:val="0"/>
                <w:sz w:val="21"/>
                <w:szCs w:val="21"/>
                <w:highlight w:val="none"/>
              </w:rPr>
              <w:t xml:space="preserve">软包防护高度结合中小学生身高设计，防护高度不低于 1.5m</w:t>
            </w:r>
            <w:r>
              <w:rPr>
                <w:rFonts w:hint="eastAsia" w:ascii="宋体" w:hAnsi="宋体" w:eastAsia="宋体" w:cs="宋体"/>
                <w:sz w:val="21"/>
                <w:szCs w:val="21"/>
                <w:highlight w:val="none"/>
              </w:rPr>
              <w:t xml:space="preserve">，耐磨防刮、缓冲防护，规避学生运动磕碰伤害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42"/>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跑步测试套装及相关户外设备部署应结合学校操场既有功能和现场通行条件进行设计，不得影响操场原有使用功能和安全管理要求。若设备、主杆（横向支杆）、摄像头等部署位置涉及消防车通道，应保证消防车通道净宽≥4.0m、净高≥4.0m，不得影响消防车辆通行和应急使用。</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42"/>
              <w:jc w:val="left"/>
              <w:keepNex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42"/>
              <w:jc w:val="center"/>
              <w:keepNex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26000</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842"/>
              <w:jc w:val="right"/>
              <w:keepNex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bl>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r>
      <w:r/>
    </w:p>
    <w:p>
      <w:pPr>
        <w:pStyle w:val="871"/>
        <w:numPr>
          <w:ilvl w:val="0"/>
          <w:numId w:val="4"/>
        </w:numPr>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分校数量明细（若有分包，按分包分列）</w:t>
      </w:r>
      <w:r>
        <w:rPr>
          <w:rFonts w:hint="eastAsia" w:ascii="宋体" w:hAnsi="宋体" w:eastAsia="宋体" w:cs="宋体"/>
          <w:color w:val="000000"/>
          <w:sz w:val="21"/>
          <w:szCs w:val="21"/>
          <w:highlight w:val="none"/>
        </w:rPr>
      </w:r>
      <w:r/>
    </w:p>
    <w:p>
      <w:pPr>
        <w:pStyle w:val="842"/>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分包一：南京市高淳区宝塔小学等校智慧体育设备采购</w:t>
      </w:r>
      <w:r>
        <w:rPr>
          <w:rFonts w:hint="eastAsia" w:ascii="宋体" w:hAnsi="宋体" w:eastAsia="宋体" w:cs="宋体"/>
          <w:color w:val="000000"/>
          <w:sz w:val="21"/>
          <w:szCs w:val="21"/>
          <w:highlight w:val="none"/>
          <w:lang w:eastAsia="zh-CN"/>
        </w:rPr>
      </w:r>
      <w:r/>
    </w:p>
    <w:tbl>
      <w:tblPr>
        <w:tblW w:w="9895" w:type="dxa"/>
        <w:tblInd w:w="-8" w:type="dxa"/>
        <w:tblLayout w:type="autofit"/>
        <w:tblCellMar>
          <w:left w:w="108" w:type="dxa"/>
          <w:top w:w="0" w:type="dxa"/>
          <w:right w:w="108" w:type="dxa"/>
          <w:bottom w:w="0" w:type="dxa"/>
        </w:tblCellMar>
        <w:tblLook w:val="04A0" w:firstRow="1" w:lastRow="0" w:firstColumn="1" w:lastColumn="0" w:noHBand="0" w:noVBand="1"/>
      </w:tblPr>
      <w:tblGrid>
        <w:gridCol w:w="1238"/>
        <w:gridCol w:w="1334"/>
        <w:gridCol w:w="1217"/>
        <w:gridCol w:w="1217"/>
        <w:gridCol w:w="1217"/>
        <w:gridCol w:w="1217"/>
        <w:gridCol w:w="1217"/>
        <w:gridCol w:w="1238"/>
      </w:tblGrid>
      <w:tr>
        <w:trPr>
          <w:trHeight w:val="1207"/>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学校名称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高淳区第三中学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高淳区第二中学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高淳区宝塔小学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高淳区滨湖小学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高淳区固城中心小学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小计数量</w:t>
            </w:r>
            <w:r>
              <w:rPr>
                <w:rFonts w:hint="eastAsia" w:ascii="宋体" w:hAnsi="宋体" w:eastAsia="宋体" w:cs="宋体"/>
                <w:color w:val="000000"/>
                <w:sz w:val="21"/>
                <w:szCs w:val="21"/>
                <w:highlight w:val="none"/>
              </w:rPr>
            </w:r>
            <w:r/>
          </w:p>
        </w:tc>
      </w:tr>
      <w:tr>
        <w:trPr>
          <w:trHeight w:val="1207"/>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设备名称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AI室内运动角</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室内体测设备</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12.00</w:t>
            </w: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50米跑测试套装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w:t>
            </w: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100米跑测试模块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r>
      <w:tr>
        <w:trPr>
          <w:trHeight w:val="863"/>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800/1000 米测试套装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w:t>
            </w:r>
            <w:r>
              <w:rPr>
                <w:rFonts w:hint="eastAsia" w:ascii="宋体" w:hAnsi="宋体" w:eastAsia="宋体" w:cs="宋体"/>
                <w:color w:val="000000"/>
                <w:sz w:val="21"/>
                <w:szCs w:val="21"/>
                <w:highlight w:val="none"/>
              </w:rPr>
            </w:r>
            <w:r/>
          </w:p>
        </w:tc>
      </w:tr>
      <w:tr>
        <w:trPr>
          <w:trHeight w:val="863"/>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智能教学体测一体机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运动手环套装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w:t>
            </w:r>
            <w:r>
              <w:rPr>
                <w:rFonts w:hint="eastAsia" w:ascii="宋体" w:hAnsi="宋体" w:eastAsia="宋体" w:cs="宋体"/>
                <w:color w:val="000000"/>
                <w:sz w:val="21"/>
                <w:szCs w:val="21"/>
                <w:highlight w:val="none"/>
              </w:rPr>
            </w:r>
            <w:r/>
          </w:p>
        </w:tc>
      </w:tr>
      <w:tr>
        <w:trPr>
          <w:trHeight w:val="579"/>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智慧体育校级平台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rPr>
                <w:rFonts w:hint="eastAsia" w:ascii="宋体" w:hAnsi="宋体" w:eastAsia="宋体" w:cs="宋体"/>
                <w:color w:val="000000"/>
                <w:sz w:val="21"/>
                <w:szCs w:val="21"/>
                <w:highlight w:val="none"/>
              </w:rPr>
            </w:r>
            <w:r/>
          </w:p>
        </w:tc>
      </w:tr>
      <w:tr>
        <w:trPr>
          <w:trHeight w:val="295"/>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运动地胶</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rPr>
                <w:rFonts w:hint="eastAsia" w:ascii="宋体" w:hAnsi="宋体" w:eastAsia="宋体" w:cs="宋体"/>
                <w:color w:val="000000"/>
                <w:sz w:val="21"/>
                <w:szCs w:val="21"/>
                <w:highlight w:val="none"/>
              </w:rPr>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室内设备线缆辅材及系统集成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20.00</w:t>
            </w:r>
            <w:r>
              <w:rPr>
                <w:rFonts w:hint="eastAsia" w:ascii="宋体" w:hAnsi="宋体" w:eastAsia="宋体" w:cs="宋体"/>
                <w:color w:val="000000"/>
                <w:sz w:val="21"/>
                <w:szCs w:val="21"/>
                <w:highlight w:val="none"/>
              </w:rPr>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室外设备线缆辅材及系统集成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w:t>
            </w:r>
            <w:r>
              <w:rPr>
                <w:rFonts w:hint="eastAsia" w:ascii="宋体" w:hAnsi="宋体" w:eastAsia="宋体" w:cs="宋体"/>
                <w:color w:val="000000"/>
                <w:sz w:val="21"/>
                <w:szCs w:val="21"/>
                <w:highlight w:val="none"/>
              </w:rPr>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w:t>
            </w:r>
            <w:r>
              <w:rPr>
                <w:rFonts w:hint="eastAsia" w:ascii="宋体" w:hAnsi="宋体" w:eastAsia="宋体" w:cs="宋体"/>
                <w:color w:val="000000"/>
                <w:sz w:val="21"/>
                <w:szCs w:val="21"/>
                <w:highlight w:val="none"/>
              </w:rPr>
            </w:r>
            <w:r/>
          </w:p>
        </w:tc>
      </w:tr>
      <w:tr>
        <w:trPr>
          <w:trHeight w:val="114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B类跑道套装线缆辅材及系统集成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0.00</w:t>
            </w:r>
            <w:r>
              <w:rPr>
                <w:rFonts w:hint="eastAsia" w:ascii="宋体" w:hAnsi="宋体" w:eastAsia="宋体" w:cs="宋体"/>
                <w:color w:val="000000"/>
                <w:sz w:val="21"/>
                <w:szCs w:val="21"/>
                <w:highlight w:val="none"/>
              </w:rPr>
            </w:r>
            <w:r/>
          </w:p>
        </w:tc>
      </w:tr>
      <w:tr>
        <w:trPr>
          <w:trHeight w:val="1158"/>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C类跑道套装线缆辅材及系统集成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r>
    </w:tbl>
    <w:p>
      <w:pPr>
        <w:pStyle w:val="84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42"/>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分包二：南京市六合区实验小学等校智慧体育设备采购</w:t>
      </w:r>
      <w:r>
        <w:rPr>
          <w:rFonts w:hint="eastAsia" w:ascii="宋体" w:hAnsi="宋体" w:eastAsia="宋体" w:cs="宋体"/>
          <w:sz w:val="21"/>
          <w:szCs w:val="21"/>
          <w:highlight w:val="none"/>
          <w:lang w:eastAsia="zh-CN"/>
        </w:rPr>
      </w:r>
      <w:r/>
    </w:p>
    <w:tbl>
      <w:tblPr>
        <w:tblW w:w="9658" w:type="dxa"/>
        <w:tblInd w:w="-8" w:type="dxa"/>
        <w:tblLayout w:type="autofit"/>
        <w:tblCellMar>
          <w:left w:w="108" w:type="dxa"/>
          <w:top w:w="0" w:type="dxa"/>
          <w:right w:w="108" w:type="dxa"/>
          <w:bottom w:w="0" w:type="dxa"/>
        </w:tblCellMar>
        <w:tblLook w:val="04A0" w:firstRow="1" w:lastRow="0" w:firstColumn="1" w:lastColumn="0" w:noHBand="0" w:noVBand="1"/>
      </w:tblPr>
      <w:tblGrid>
        <w:gridCol w:w="1208"/>
        <w:gridCol w:w="1302"/>
        <w:gridCol w:w="1188"/>
        <w:gridCol w:w="1188"/>
        <w:gridCol w:w="1188"/>
        <w:gridCol w:w="1188"/>
        <w:gridCol w:w="1188"/>
        <w:gridCol w:w="1208"/>
      </w:tblGrid>
      <w:tr>
        <w:trPr>
          <w:trHeight w:val="1398"/>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学校名称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六合区实验高级中学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南京师范大学附属六合实验初级中学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北京东路小学棠城分校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科利华中学棠城分校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六合区实验小学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小计数量</w:t>
            </w:r>
            <w:r>
              <w:rPr>
                <w:rFonts w:hint="eastAsia" w:ascii="宋体" w:hAnsi="宋体" w:eastAsia="宋体" w:cs="宋体"/>
                <w:color w:val="000000"/>
                <w:sz w:val="21"/>
                <w:szCs w:val="21"/>
                <w:highlight w:val="none"/>
              </w:rPr>
            </w:r>
            <w:r/>
          </w:p>
        </w:tc>
      </w:tr>
      <w:tr>
        <w:trPr>
          <w:trHeight w:val="98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设备名称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AI室内运动角</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9.00</w:t>
            </w: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室内体测设备</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50米跑测试套装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100米跑测试模块</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r>
      <w:tr>
        <w:trPr>
          <w:trHeight w:val="70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800/1000 米测试套装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w:t>
            </w:r>
            <w:r>
              <w:rPr>
                <w:rFonts w:hint="eastAsia" w:ascii="宋体" w:hAnsi="宋体" w:eastAsia="宋体" w:cs="宋体"/>
                <w:color w:val="000000"/>
                <w:sz w:val="21"/>
                <w:szCs w:val="21"/>
                <w:highlight w:val="none"/>
              </w:rPr>
            </w:r>
            <w:r/>
          </w:p>
        </w:tc>
      </w:tr>
      <w:tr>
        <w:trPr>
          <w:trHeight w:val="70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智能教学体测一体机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运动手环套装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r>
      <w:tr>
        <w:trPr>
          <w:trHeight w:val="472"/>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智慧体育校级平台</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rPr>
                <w:rFonts w:hint="eastAsia" w:ascii="宋体" w:hAnsi="宋体" w:eastAsia="宋体" w:cs="宋体"/>
                <w:color w:val="000000"/>
                <w:sz w:val="21"/>
                <w:szCs w:val="21"/>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运动地胶</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9.00</w:t>
            </w:r>
            <w:r>
              <w:rPr>
                <w:rFonts w:hint="eastAsia" w:ascii="宋体" w:hAnsi="宋体" w:eastAsia="宋体" w:cs="宋体"/>
                <w:color w:val="000000"/>
                <w:sz w:val="21"/>
                <w:szCs w:val="21"/>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室内设备线缆辅材及系统集成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19.00</w:t>
            </w:r>
            <w:r>
              <w:rPr>
                <w:rFonts w:hint="eastAsia" w:ascii="宋体" w:hAnsi="宋体" w:eastAsia="宋体" w:cs="宋体"/>
                <w:color w:val="000000"/>
                <w:sz w:val="21"/>
                <w:szCs w:val="21"/>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室外设备线缆辅材及系统集成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w:t>
            </w:r>
            <w:r>
              <w:rPr>
                <w:rFonts w:hint="eastAsia" w:ascii="宋体" w:hAnsi="宋体" w:eastAsia="宋体" w:cs="宋体"/>
                <w:color w:val="000000"/>
                <w:sz w:val="21"/>
                <w:szCs w:val="21"/>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A类跑道套装线缆辅材及系统集成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B类跑道套装线缆辅材及系统集成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w:t>
            </w:r>
            <w:r>
              <w:rPr>
                <w:rFonts w:hint="eastAsia" w:ascii="宋体" w:hAnsi="宋体" w:eastAsia="宋体" w:cs="宋体"/>
                <w:color w:val="000000"/>
                <w:sz w:val="21"/>
                <w:szCs w:val="21"/>
                <w:highlight w:val="none"/>
              </w:rPr>
            </w:r>
            <w:r/>
          </w:p>
        </w:tc>
      </w:tr>
      <w:tr>
        <w:trPr>
          <w:trHeight w:val="943"/>
        </w:trPr>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C类跑道套装线缆辅材及系统集成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84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42"/>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w:t>
            </w:r>
            <w:r>
              <w:rPr>
                <w:rFonts w:hint="eastAsia" w:ascii="宋体" w:hAnsi="宋体" w:eastAsia="宋体" w:cs="宋体"/>
                <w:color w:val="000000"/>
                <w:sz w:val="21"/>
                <w:szCs w:val="21"/>
                <w:highlight w:val="none"/>
              </w:rPr>
            </w:r>
            <w:r/>
          </w:p>
        </w:tc>
      </w:tr>
    </w:tbl>
    <w:p>
      <w:pPr>
        <w:pStyle w:val="842"/>
        <w:jc w:val="lef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说明：A、B、C三类跑道套装</w:t>
      </w:r>
      <w:r>
        <w:rPr>
          <w:rFonts w:hint="eastAsia" w:ascii="宋体" w:hAnsi="宋体" w:eastAsia="宋体" w:cs="宋体"/>
          <w:color w:val="000000"/>
          <w:sz w:val="21"/>
          <w:szCs w:val="21"/>
          <w:highlight w:val="none"/>
          <w:lang w:bidi="ar"/>
        </w:rPr>
        <w:t xml:space="preserve">线缆辅材及系统集成</w:t>
      </w:r>
      <w:r>
        <w:rPr>
          <w:rFonts w:hint="eastAsia" w:ascii="宋体" w:hAnsi="宋体" w:eastAsia="宋体" w:cs="宋体"/>
          <w:sz w:val="21"/>
          <w:szCs w:val="21"/>
          <w:highlight w:val="none"/>
          <w:lang w:bidi="ar"/>
        </w:rPr>
        <w:t xml:space="preserve">设备参数、材质标准及施工工艺一致；为适配不同学校操场现状，依据跑道周长、场地施工条件进行划分，各类别线缆辅材用量、布线规模、系统集成施工工程量存在差异，故线缆辅材及系统集成费用各不相同。</w:t>
      </w:r>
      <w:r>
        <w:rPr>
          <w:rFonts w:hint="eastAsia" w:ascii="宋体" w:hAnsi="宋体" w:eastAsia="宋体" w:cs="宋体"/>
          <w:sz w:val="21"/>
          <w:szCs w:val="21"/>
          <w:highlight w:val="none"/>
          <w:lang w:bidi="ar"/>
        </w:rPr>
      </w:r>
      <w:r/>
    </w:p>
    <w:p>
      <w:pPr>
        <w:pStyle w:val="842"/>
        <w:jc w:val="lef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商务条款（须在商务条款偏离表中逐条响应，否则作无效响应处理）</w:t>
      </w:r>
      <w:r>
        <w:rPr>
          <w:rFonts w:hint="eastAsia" w:ascii="宋体" w:hAnsi="宋体" w:eastAsia="宋体" w:cs="宋体"/>
          <w:b/>
          <w:color w:val="000000"/>
          <w:sz w:val="21"/>
          <w:szCs w:val="21"/>
          <w:highlight w:val="none"/>
          <w:lang w:val="en-US" w:eastAsia="zh-CN"/>
        </w:rPr>
      </w:r>
      <w:r/>
    </w:p>
    <w:p>
      <w:pPr>
        <w:pStyle w:val="842"/>
        <w:ind w:firstLine="422"/>
        <w:spacing w:line="360" w:lineRule="auto"/>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tbl>
      <w:tblPr>
        <w:tblW w:w="9624"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576"/>
        <w:gridCol w:w="1328"/>
        <w:gridCol w:w="7720"/>
      </w:tblGrid>
      <w:tr>
        <w:trPr/>
        <w:tc>
          <w:tcPr>
            <w:tcMar>
              <w:left w:w="15" w:type="dxa"/>
              <w:top w:w="15" w:type="dxa"/>
              <w:right w:w="15" w:type="dxa"/>
              <w:bottom w:w="15" w:type="dxa"/>
            </w:tcMar>
            <w:tcW w:w="576" w:type="dxa"/>
            <w:vAlign w:val="center"/>
            <w:textDirection w:val="lrTb"/>
            <w:noWrap/>
          </w:tcPr>
          <w:p>
            <w:pPr>
              <w:pStyle w:val="1055"/>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 号</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1055"/>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 称</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1055"/>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采购要求</w:t>
            </w:r>
            <w:r>
              <w:rPr>
                <w:rFonts w:hint="eastAsia" w:ascii="宋体" w:hAnsi="宋体" w:eastAsia="宋体" w:cs="宋体"/>
                <w:b/>
                <w:bCs/>
                <w:sz w:val="21"/>
                <w:szCs w:val="21"/>
                <w:highlight w:val="none"/>
              </w:rPr>
            </w:r>
            <w:r/>
          </w:p>
        </w:tc>
      </w:tr>
      <w:tr>
        <w:trPr/>
        <w:tc>
          <w:tcPr>
            <w:tcMar>
              <w:left w:w="15" w:type="dxa"/>
              <w:top w:w="15" w:type="dxa"/>
              <w:right w:w="15" w:type="dxa"/>
              <w:bottom w:w="15" w:type="dxa"/>
            </w:tcMar>
            <w:tcW w:w="576"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合同主体</w:t>
            </w:r>
            <w:r>
              <w:rPr>
                <w:rFonts w:hint="eastAsia" w:ascii="宋体" w:hAnsi="宋体" w:eastAsia="宋体" w:cs="宋体"/>
                <w:b/>
                <w:bCs/>
                <w:sz w:val="21"/>
                <w:szCs w:val="21"/>
                <w:highlight w:val="none"/>
              </w:rPr>
            </w:r>
            <w:r/>
          </w:p>
          <w:p>
            <w:pPr>
              <w:pStyle w:val="871"/>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与付款要求</w:t>
            </w:r>
            <w:r>
              <w:rPr>
                <w:rFonts w:hint="eastAsia" w:ascii="宋体" w:hAnsi="宋体" w:eastAsia="宋体" w:cs="宋体"/>
                <w:sz w:val="21"/>
                <w:szCs w:val="21"/>
                <w:highlight w:val="none"/>
              </w:rPr>
            </w:r>
            <w:r/>
          </w:p>
        </w:tc>
        <w:tc>
          <w:tcPr>
            <w:tcMar>
              <w:left w:w="15" w:type="dxa"/>
              <w:top w:w="15" w:type="dxa"/>
              <w:right w:w="15" w:type="dxa"/>
              <w:bottom w:w="15" w:type="dxa"/>
            </w:tcMar>
            <w:tcW w:w="7720" w:type="dxa"/>
            <w:vAlign w:val="center"/>
            <w:textDirection w:val="lrTb"/>
            <w:noWrap/>
          </w:tcPr>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该项目签订合同时须向采购人缴纳合同总额的3%作为履约保证金，缴纳方式建议采用银行保函，质保期满无质量或服务问题无息退还；</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在合同签订后支付合同总额的30%作为预付款；项目竣工后，经使用学校对标功能评估合格、再专家验收考评合格后，支付剩余合同总额。</w:t>
            </w:r>
            <w:r>
              <w:rPr>
                <w:rFonts w:hint="eastAsia" w:ascii="宋体" w:hAnsi="宋体" w:eastAsia="宋体" w:cs="宋体"/>
                <w:sz w:val="21"/>
                <w:szCs w:val="21"/>
                <w:highlight w:val="none"/>
              </w:rPr>
            </w:r>
            <w:r/>
          </w:p>
        </w:tc>
      </w:tr>
      <w:tr>
        <w:trPr/>
        <w:tc>
          <w:tcPr>
            <w:tcMar>
              <w:left w:w="15" w:type="dxa"/>
              <w:top w:w="15" w:type="dxa"/>
              <w:right w:w="15" w:type="dxa"/>
              <w:bottom w:w="15" w:type="dxa"/>
            </w:tcMar>
            <w:tcW w:w="576"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履约周期</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87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自签订合同之日起</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0天；</w:t>
            </w:r>
            <w:r>
              <w:rPr>
                <w:rFonts w:hint="eastAsia" w:ascii="宋体" w:hAnsi="宋体" w:eastAsia="宋体" w:cs="宋体"/>
                <w:sz w:val="21"/>
                <w:szCs w:val="21"/>
                <w:highlight w:val="none"/>
              </w:rPr>
            </w:r>
            <w:r/>
          </w:p>
        </w:tc>
      </w:tr>
      <w:tr>
        <w:trPr/>
        <w:tc>
          <w:tcPr>
            <w:tcMar>
              <w:left w:w="15" w:type="dxa"/>
              <w:top w:w="15" w:type="dxa"/>
              <w:right w:w="15" w:type="dxa"/>
              <w:bottom w:w="15" w:type="dxa"/>
            </w:tcMar>
            <w:tcW w:w="576"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项目质保期</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842"/>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三年（</w:t>
            </w:r>
            <w:r>
              <w:rPr>
                <w:rFonts w:hint="eastAsia" w:ascii="宋体" w:hAnsi="宋体" w:eastAsia="宋体" w:cs="宋体"/>
                <w:sz w:val="21"/>
                <w:szCs w:val="21"/>
                <w:highlight w:val="none"/>
              </w:rPr>
              <w:t xml:space="preserve">明确质保期自验收合格之日起计算）</w:t>
            </w:r>
            <w:r>
              <w:rPr>
                <w:rFonts w:hint="eastAsia" w:ascii="宋体" w:hAnsi="宋体" w:eastAsia="宋体" w:cs="宋体"/>
                <w:sz w:val="21"/>
                <w:szCs w:val="21"/>
                <w:highlight w:val="none"/>
              </w:rPr>
            </w:r>
            <w:r/>
          </w:p>
        </w:tc>
      </w:tr>
      <w:tr>
        <w:trPr/>
        <w:tc>
          <w:tcPr>
            <w:tcMar>
              <w:left w:w="15" w:type="dxa"/>
              <w:top w:w="15" w:type="dxa"/>
              <w:right w:w="15" w:type="dxa"/>
              <w:bottom w:w="15" w:type="dxa"/>
            </w:tcMar>
            <w:tcW w:w="576"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842"/>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报价要求</w:t>
            </w:r>
            <w:r>
              <w:rPr>
                <w:rFonts w:hint="eastAsia" w:ascii="宋体" w:hAnsi="宋体" w:eastAsia="宋体" w:cs="宋体"/>
                <w:sz w:val="21"/>
                <w:szCs w:val="21"/>
                <w:highlight w:val="none"/>
              </w:rPr>
            </w:r>
            <w:r/>
          </w:p>
        </w:tc>
        <w:tc>
          <w:tcPr>
            <w:tcMar>
              <w:left w:w="15" w:type="dxa"/>
              <w:top w:w="15" w:type="dxa"/>
              <w:right w:w="15" w:type="dxa"/>
              <w:bottom w:w="15" w:type="dxa"/>
            </w:tcMar>
            <w:tcW w:w="7720" w:type="dxa"/>
            <w:vAlign w:val="center"/>
            <w:textDirection w:val="lrTb"/>
            <w:noWrap/>
          </w:tcPr>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报价包括设备成本、合理损耗，以及完成该项目所需的人工费、材料和工程设备费、施工机具使用费和企业管理费、利润，一定范围内的风险费用，税金等，所有费用包含在投标总价中，项目费用结算付款均按实结算，不预留损耗量。</w:t>
            </w:r>
            <w:r>
              <w:rPr>
                <w:rFonts w:hint="eastAsia" w:ascii="宋体" w:hAnsi="宋体" w:eastAsia="宋体" w:cs="宋体"/>
                <w:sz w:val="21"/>
                <w:szCs w:val="21"/>
                <w:highlight w:val="none"/>
              </w:rPr>
            </w:r>
            <w:r/>
          </w:p>
        </w:tc>
      </w:tr>
      <w:tr>
        <w:trPr/>
        <w:tc>
          <w:tcPr>
            <w:tcMar>
              <w:left w:w="15" w:type="dxa"/>
              <w:top w:w="15" w:type="dxa"/>
              <w:right w:w="15" w:type="dxa"/>
              <w:bottom w:w="15" w:type="dxa"/>
            </w:tcMar>
            <w:tcW w:w="576"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供货与</w:t>
            </w:r>
            <w:r>
              <w:rPr>
                <w:rFonts w:hint="eastAsia" w:ascii="宋体" w:hAnsi="宋体" w:eastAsia="宋体" w:cs="宋体"/>
                <w:b/>
                <w:bCs/>
                <w:sz w:val="21"/>
                <w:szCs w:val="21"/>
                <w:highlight w:val="none"/>
              </w:rPr>
            </w:r>
            <w:r/>
          </w:p>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履约要求</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1、管理平台数据同步</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供应商须同步使用“南京市教育装备项目管理平台”，并在平台中完成以下操作：公开投标文件与合同资料；上传施工过程影像资料与履约文件；发起验收流程；申请售后服务；制作设备二维码标签并粘贴。</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2、项目过程性管理</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供应商应编制施工进度计划，并在履约全过程中根据实际进展动态更新。须参与采购人组织的定期工程会议，每周汇报项目进展情况，并接受采购人及相关部门的飞行检查与管理。</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3、深化设计与材料交付</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须按时提交包括原始图纸深化、施工告知函、安全责任书、设备清单、技术参数等全套资料，内容需明确施工交接界面，经采购人审核盖章后方可施工。所有资料须按“一式三份”标准提交：学校、供应商、项目管理方各留存一份。</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4、送样管理</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评审现场，中标供应商参与样品评测的产品封样送装备中心。</w:t>
            </w:r>
            <w:r>
              <w:rPr>
                <w:rFonts w:hint="eastAsia" w:ascii="宋体" w:hAnsi="宋体" w:eastAsia="宋体" w:cs="宋体"/>
                <w:sz w:val="21"/>
                <w:szCs w:val="21"/>
                <w:highlight w:val="none"/>
              </w:rPr>
            </w:r>
            <w:r/>
          </w:p>
        </w:tc>
      </w:tr>
      <w:tr>
        <w:trPr>
          <w:trHeight w:val="590"/>
        </w:trPr>
        <w:tc>
          <w:tcPr>
            <w:tcMar>
              <w:left w:w="15" w:type="dxa"/>
              <w:top w:w="15" w:type="dxa"/>
              <w:right w:w="15" w:type="dxa"/>
              <w:bottom w:w="15" w:type="dxa"/>
            </w:tcMar>
            <w:tcW w:w="576" w:type="dxa"/>
            <w:vAlign w:val="center"/>
            <w:textDirection w:val="lrTb"/>
            <w:noWrap/>
          </w:tcPr>
          <w:p>
            <w:pPr>
              <w:pStyle w:val="1055"/>
              <w:ind w:firstLine="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1055"/>
              <w:ind w:firstLine="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项目管理</w:t>
            </w:r>
            <w:r>
              <w:rPr>
                <w:rFonts w:hint="eastAsia" w:ascii="宋体" w:hAnsi="宋体" w:eastAsia="宋体" w:cs="宋体"/>
                <w:sz w:val="21"/>
                <w:szCs w:val="21"/>
                <w:highlight w:val="none"/>
              </w:rPr>
            </w:r>
            <w:r/>
          </w:p>
        </w:tc>
        <w:tc>
          <w:tcPr>
            <w:tcMar>
              <w:left w:w="15" w:type="dxa"/>
              <w:top w:w="15" w:type="dxa"/>
              <w:right w:w="15" w:type="dxa"/>
              <w:bottom w:w="15" w:type="dxa"/>
            </w:tcMar>
            <w:tcW w:w="7720" w:type="dxa"/>
            <w:vAlign w:val="center"/>
            <w:textDirection w:val="lrTb"/>
            <w:noWrap/>
          </w:tcPr>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建立完善的项目管理体系，使用采购人项目管理平台完成资料上传与过程管控。</w:t>
            </w:r>
            <w:r>
              <w:rPr>
                <w:rFonts w:hint="eastAsia" w:ascii="宋体" w:hAnsi="宋体" w:eastAsia="宋体" w:cs="宋体"/>
                <w:sz w:val="21"/>
                <w:szCs w:val="21"/>
                <w:highlight w:val="none"/>
              </w:rPr>
            </w:r>
            <w:r/>
          </w:p>
          <w:p>
            <w:pPr>
              <w:pStyle w:val="842"/>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中标后须提交详细实施计划，明确供货、安装、调试、培训、验收等关键节点，按计划推进并定期汇报进度。</w:t>
            </w:r>
            <w:r>
              <w:rPr>
                <w:rFonts w:hint="eastAsia" w:ascii="宋体" w:hAnsi="宋体" w:eastAsia="宋体" w:cs="宋体"/>
                <w:sz w:val="21"/>
                <w:szCs w:val="21"/>
                <w:highlight w:val="none"/>
              </w:rPr>
            </w:r>
            <w:r/>
          </w:p>
          <w:p>
            <w:pPr>
              <w:pStyle w:val="842"/>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项目实施过程中须严格执行到货验收与质量管控，确保设备为全新原装、参数完整、配件齐全，配合校方完成开箱验收；安装调试须符合校园规范，确保设备与现有系统无缝对接并稳定运行。</w:t>
            </w:r>
            <w:r>
              <w:rPr>
                <w:rFonts w:hint="eastAsia" w:ascii="宋体" w:hAnsi="宋体" w:eastAsia="宋体" w:cs="宋体"/>
                <w:sz w:val="21"/>
                <w:szCs w:val="21"/>
                <w:highlight w:val="none"/>
              </w:rPr>
            </w:r>
            <w:r/>
          </w:p>
          <w:p>
            <w:pPr>
              <w:pStyle w:val="842"/>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须按要求组织教师实操培训，提供操作手册、常见问题指南及简易培训视频，确保使用人员能独立完成设备操作与日常维护。</w:t>
            </w:r>
            <w:r>
              <w:rPr>
                <w:rFonts w:hint="eastAsia" w:ascii="宋体" w:hAnsi="宋体" w:eastAsia="宋体" w:cs="宋体"/>
                <w:sz w:val="21"/>
                <w:szCs w:val="21"/>
                <w:highlight w:val="none"/>
              </w:rPr>
            </w:r>
            <w:r/>
          </w:p>
          <w:p>
            <w:pPr>
              <w:pStyle w:val="842"/>
              <w:numPr>
                <w:ilvl w:val="0"/>
                <w:numId w:val="5"/>
              </w:numPr>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项目实施全过程须接受采购人监督，严格执行试运行、竣工验收及资料归档制度，形成可追溯的项目管理闭环，确保项目按期、保质、安全完成。</w:t>
            </w:r>
            <w:r>
              <w:rPr>
                <w:rFonts w:hint="eastAsia" w:ascii="宋体" w:hAnsi="宋体" w:eastAsia="宋体" w:cs="宋体"/>
                <w:sz w:val="21"/>
                <w:szCs w:val="21"/>
                <w:highlight w:val="none"/>
              </w:rPr>
            </w:r>
            <w:r/>
          </w:p>
        </w:tc>
      </w:tr>
      <w:tr>
        <w:trPr>
          <w:trHeight w:val="90"/>
        </w:trPr>
        <w:tc>
          <w:tcPr>
            <w:tcMar>
              <w:left w:w="15" w:type="dxa"/>
              <w:top w:w="15" w:type="dxa"/>
              <w:right w:w="15" w:type="dxa"/>
              <w:bottom w:w="15" w:type="dxa"/>
            </w:tcMar>
            <w:tcW w:w="576"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验收要求</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1.验收方法</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成立验收小组现场验收，对产品数量、质量和功能性、学校应用情况达成等进行检查复核。</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2.验收标准</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验收材料完整，设备数量与合同一致，系统功能达成与投标人投标文件中的承诺一致。</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3.验收培训</w:t>
            </w:r>
            <w:r>
              <w:rPr>
                <w:rFonts w:hint="eastAsia" w:ascii="宋体" w:hAnsi="宋体" w:eastAsia="宋体" w:cs="宋体"/>
                <w:sz w:val="21"/>
                <w:szCs w:val="21"/>
                <w:highlight w:val="none"/>
              </w:rPr>
            </w:r>
            <w:r/>
          </w:p>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须完成每校到校设备操作培训视频，涵盖操作流程、常见故障排查及安全规程（参训人员应覆盖学校涉及岗位，开展教师培训实操评价，合格率100%）。</w:t>
            </w:r>
            <w:r>
              <w:rPr>
                <w:rFonts w:hint="eastAsia" w:ascii="宋体" w:hAnsi="宋体" w:eastAsia="宋体" w:cs="宋体"/>
                <w:sz w:val="21"/>
                <w:szCs w:val="21"/>
                <w:highlight w:val="none"/>
              </w:rPr>
            </w:r>
            <w:r/>
          </w:p>
        </w:tc>
      </w:tr>
      <w:tr>
        <w:trPr>
          <w:trHeight w:val="90"/>
        </w:trPr>
        <w:tc>
          <w:tcPr>
            <w:tcMar>
              <w:left w:w="15" w:type="dxa"/>
              <w:top w:w="15" w:type="dxa"/>
              <w:right w:w="15" w:type="dxa"/>
              <w:bottom w:w="15" w:type="dxa"/>
            </w:tcMar>
            <w:tcW w:w="576"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售后服务</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1.技术支持体系（包括但不限于技术支持服务级别和内容、紧急情况的技术支持）</w:t>
            </w:r>
            <w:r>
              <w:rPr>
                <w:rFonts w:hint="eastAsia" w:ascii="宋体" w:hAnsi="宋体" w:eastAsia="宋体" w:cs="宋体"/>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2.设备维护服务（包括但不限于问题分级说明和解决时间、问题状况与诊断、软件和硬件维护）</w:t>
            </w:r>
            <w:r>
              <w:rPr>
                <w:rFonts w:hint="eastAsia" w:ascii="宋体" w:hAnsi="宋体" w:eastAsia="宋体" w:cs="宋体"/>
                <w:sz w:val="21"/>
                <w:szCs w:val="21"/>
                <w:highlight w:val="none"/>
              </w:rPr>
            </w:r>
            <w:r/>
          </w:p>
          <w:p>
            <w:pPr>
              <w:pStyle w:val="84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3.备品备件方案（包括但不限于备品备件清单、价格）</w:t>
            </w:r>
            <w:r>
              <w:rPr>
                <w:rFonts w:hint="eastAsia" w:ascii="宋体" w:hAnsi="宋体" w:eastAsia="宋体" w:cs="宋体"/>
                <w:sz w:val="21"/>
                <w:szCs w:val="21"/>
                <w:highlight w:val="none"/>
              </w:rPr>
            </w:r>
            <w:r/>
          </w:p>
        </w:tc>
      </w:tr>
      <w:tr>
        <w:trPr>
          <w:trHeight w:val="90"/>
        </w:trPr>
        <w:tc>
          <w:tcPr>
            <w:tcMar>
              <w:left w:w="15" w:type="dxa"/>
              <w:top w:w="15" w:type="dxa"/>
              <w:right w:w="15" w:type="dxa"/>
              <w:bottom w:w="15" w:type="dxa"/>
            </w:tcMar>
            <w:tcW w:w="576"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培训要求</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842"/>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1.操作使用培训：中标供应商需针对两区体育教师、管理人员开展设备操作、平台数据录入、体测统计等实操培训，确保参训人员熟练掌握智慧体育软硬件日常使用方法。</w:t>
            </w:r>
            <w:r>
              <w:rPr>
                <w:rFonts w:hint="eastAsia" w:ascii="宋体" w:hAnsi="宋体" w:eastAsia="宋体" w:cs="宋体"/>
                <w:color w:val="000000"/>
                <w:sz w:val="21"/>
                <w:szCs w:val="21"/>
                <w:highlight w:val="none"/>
              </w:rPr>
              <w:t xml:space="preserve">设备培训方案（包括但不限于培训课时、操作手册、体育课堂使用方法）</w:t>
            </w:r>
            <w:r>
              <w:rPr>
                <w:rFonts w:hint="eastAsia" w:ascii="宋体" w:hAnsi="宋体" w:eastAsia="宋体" w:cs="宋体"/>
                <w:sz w:val="21"/>
                <w:szCs w:val="21"/>
                <w:highlight w:val="none"/>
              </w:rPr>
              <w:t xml:space="preserve">2、运维保障培训：供应商需提供设备日常维护、简易故障排查、系统基础运维培训，指导各校技术管理人员独立完成常规养护，保障设备长期稳定运行。</w:t>
            </w:r>
            <w:r>
              <w:rPr>
                <w:rFonts w:hint="eastAsia" w:ascii="宋体" w:hAnsi="宋体" w:eastAsia="宋体" w:cs="宋体"/>
                <w:sz w:val="21"/>
                <w:szCs w:val="21"/>
                <w:highlight w:val="none"/>
              </w:rPr>
            </w:r>
            <w:r/>
          </w:p>
        </w:tc>
      </w:tr>
      <w:tr>
        <w:trPr>
          <w:trHeight w:val="90"/>
        </w:trPr>
        <w:tc>
          <w:tcPr>
            <w:tcMar>
              <w:left w:w="15" w:type="dxa"/>
              <w:top w:w="15" w:type="dxa"/>
              <w:right w:w="15" w:type="dxa"/>
              <w:bottom w:w="15" w:type="dxa"/>
            </w:tcMar>
            <w:tcW w:w="576"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w:t>
            </w:r>
            <w:r>
              <w:rPr>
                <w:rFonts w:hint="eastAsia" w:ascii="宋体" w:hAnsi="宋体" w:eastAsia="宋体" w:cs="宋体"/>
                <w:b/>
                <w:bCs/>
                <w:sz w:val="21"/>
                <w:szCs w:val="21"/>
                <w:highlight w:val="none"/>
              </w:rPr>
            </w:r>
            <w:r/>
          </w:p>
        </w:tc>
        <w:tc>
          <w:tcPr>
            <w:tcMar>
              <w:left w:w="15" w:type="dxa"/>
              <w:top w:w="15" w:type="dxa"/>
              <w:right w:w="15" w:type="dxa"/>
              <w:bottom w:w="15" w:type="dxa"/>
            </w:tcMar>
            <w:tcW w:w="1328" w:type="dxa"/>
            <w:vAlign w:val="center"/>
            <w:textDirection w:val="lrTb"/>
            <w:noWrap/>
          </w:tcPr>
          <w:p>
            <w:pPr>
              <w:pStyle w:val="842"/>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其他</w:t>
            </w:r>
            <w:r>
              <w:rPr>
                <w:rFonts w:hint="eastAsia" w:ascii="宋体" w:hAnsi="宋体" w:eastAsia="宋体" w:cs="宋体"/>
                <w:b/>
                <w:bCs/>
                <w:sz w:val="21"/>
                <w:szCs w:val="21"/>
                <w:highlight w:val="none"/>
              </w:rPr>
            </w:r>
            <w:r/>
          </w:p>
        </w:tc>
        <w:tc>
          <w:tcPr>
            <w:tcMar>
              <w:left w:w="15" w:type="dxa"/>
              <w:top w:w="15" w:type="dxa"/>
              <w:right w:w="15" w:type="dxa"/>
              <w:bottom w:w="15" w:type="dxa"/>
            </w:tcMar>
            <w:tcW w:w="7720" w:type="dxa"/>
            <w:vAlign w:val="center"/>
            <w:textDirection w:val="lrTb"/>
            <w:noWrap/>
          </w:tcPr>
          <w:p>
            <w:pPr>
              <w:pStyle w:val="87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842"/>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42"/>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42"/>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42"/>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42"/>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42"/>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42"/>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42"/>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42"/>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42"/>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42"/>
        <w:numPr>
          <w:ilvl w:val="0"/>
          <w:numId w:val="0"/>
        </w:numPr>
        <w:jc w:val="center"/>
        <w:spacing w:line="360" w:lineRule="auto"/>
        <w:rPr>
          <w:rFonts w:ascii="宋体" w:hAnsi="宋体" w:cs="宋体"/>
          <w:b/>
          <w:bCs/>
          <w:spacing w:val="-10"/>
          <w:sz w:val="36"/>
          <w:szCs w:val="36"/>
          <w:highlight w:val="none"/>
          <w:lang w:val="zh-CN"/>
        </w:rPr>
        <w:outlineLvl w:val="0"/>
      </w:pPr>
      <w:r>
        <w:rPr>
          <w:rFonts w:ascii="黑体" w:hAnsi="宋体" w:eastAsia="黑体" w:cs="Times New Roman"/>
          <w:b/>
          <w:bCs/>
          <w:sz w:val="32"/>
          <w:szCs w:val="32"/>
          <w:highlight w:val="none"/>
          <w:lang w:val="en-US" w:eastAsia="zh-CN" w:bidi="ar-SA"/>
        </w:rPr>
        <w:br w:type="page" w:clear="all"/>
      </w:r>
      <w:r>
        <w:rPr>
          <w:rFonts w:ascii="黑体" w:hAnsi="宋体" w:eastAsia="黑体" w:cs="Times New Roman"/>
          <w:b/>
          <w:bCs/>
          <w:sz w:val="32"/>
          <w:szCs w:val="32"/>
          <w:highlight w:val="none"/>
          <w:lang w:val="en-US" w:eastAsia="zh-CN" w:bidi="ar-SA"/>
        </w:rPr>
        <w:t xml:space="preserve">第五章</w:t>
      </w:r>
      <w:r>
        <w:rPr>
          <w:rFonts w:hint="eastAsia" w:ascii="黑体" w:hAnsi="宋体" w:eastAsia="黑体" w:cs="Times New Roman"/>
          <w:b/>
          <w:bCs/>
          <w:sz w:val="32"/>
          <w:szCs w:val="32"/>
          <w:highlight w:val="none"/>
          <w:lang w:val="en-US" w:eastAsia="zh-CN" w:bidi="ar-SA"/>
        </w:rPr>
        <w:t xml:space="preserve"> </w:t>
      </w:r>
      <w:r>
        <w:rPr>
          <w:rFonts w:hint="eastAsia" w:ascii="黑体" w:hAnsi="宋体" w:eastAsia="黑体" w:cs="Times New Roman"/>
          <w:b/>
          <w:bCs/>
          <w:sz w:val="32"/>
          <w:szCs w:val="32"/>
          <w:highlight w:val="none"/>
          <w:lang w:val="zh-CN" w:eastAsia="zh-CN" w:bidi="ar-SA"/>
        </w:rPr>
        <w:t xml:space="preserve">合同草案条款</w:t>
      </w:r>
      <w:r>
        <w:rPr>
          <w:rFonts w:ascii="宋体" w:hAnsi="宋体" w:cs="宋体"/>
          <w:b/>
          <w:bCs/>
          <w:spacing w:val="-10"/>
          <w:sz w:val="36"/>
          <w:szCs w:val="36"/>
          <w:highlight w:val="none"/>
          <w:lang w:val="zh-CN"/>
        </w:rPr>
      </w:r>
      <w:r/>
    </w:p>
    <w:p>
      <w:pPr>
        <w:pStyle w:val="842"/>
        <w:jc w:val="center"/>
        <w:rPr>
          <w:rFonts w:ascii="黑体" w:hAnsi="黑体" w:eastAsia="黑体" w:cs="黑体"/>
          <w:sz w:val="28"/>
          <w:szCs w:val="28"/>
          <w:highlight w:val="none"/>
          <w:lang w:val="zh-CN"/>
        </w:rPr>
      </w:pPr>
      <w:r>
        <w:rPr>
          <w:rFonts w:hint="eastAsia" w:ascii="黑体" w:hAnsi="黑体" w:eastAsia="黑体" w:cs="黑体"/>
          <w:sz w:val="28"/>
          <w:szCs w:val="28"/>
          <w:highlight w:val="none"/>
          <w:lang w:val="zh-CN"/>
        </w:rPr>
        <w:t xml:space="preserve">（</w:t>
      </w:r>
      <w:r>
        <w:rPr>
          <w:rFonts w:hint="eastAsia" w:ascii="黑体" w:hAnsi="黑体" w:eastAsia="黑体" w:cs="黑体"/>
          <w:sz w:val="28"/>
          <w:szCs w:val="28"/>
          <w:highlight w:val="none"/>
        </w:rPr>
        <w:t xml:space="preserve">仅供参考</w:t>
      </w:r>
      <w:r>
        <w:rPr>
          <w:rFonts w:hint="eastAsia" w:ascii="黑体" w:hAnsi="黑体" w:eastAsia="黑体" w:cs="黑体"/>
          <w:sz w:val="28"/>
          <w:szCs w:val="28"/>
          <w:highlight w:val="none"/>
          <w:lang w:val="zh-CN"/>
        </w:rPr>
        <w:t xml:space="preserve">）</w:t>
      </w:r>
      <w:r>
        <w:rPr>
          <w:rFonts w:ascii="黑体" w:hAnsi="黑体" w:eastAsia="黑体" w:cs="黑体"/>
          <w:sz w:val="28"/>
          <w:szCs w:val="28"/>
          <w:highlight w:val="none"/>
          <w:lang w:val="zh-CN"/>
        </w:rPr>
      </w:r>
      <w:r/>
    </w:p>
    <w:p>
      <w:pPr>
        <w:pStyle w:val="842"/>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合同编号：</w:t>
      </w:r>
      <w:r>
        <w:rPr>
          <w:rFonts w:hint="eastAsia" w:ascii="宋体" w:hAnsi="宋体" w:eastAsia="宋体" w:cs="宋体"/>
          <w:szCs w:val="21"/>
          <w:highlight w:val="none"/>
          <w:lang w:val="zh-CN"/>
        </w:rPr>
      </w:r>
      <w:r/>
    </w:p>
    <w:p>
      <w:pPr>
        <w:pStyle w:val="84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bl>
      <w:tblPr>
        <w:tblW w:w="0" w:type="auto"/>
        <w:tblInd w:w="-105"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采购人（以下称甲方）</w:t>
            </w:r>
            <w:r>
              <w:rPr>
                <w:rFonts w:hint="eastAsia" w:ascii="宋体" w:hAnsi="宋体" w:eastAsia="宋体" w:cs="宋体"/>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供应商：（以下称乙方）</w:t>
            </w:r>
            <w:r>
              <w:rPr>
                <w:rFonts w:hint="eastAsia" w:ascii="宋体" w:hAnsi="宋体" w:eastAsia="宋体" w:cs="宋体"/>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 住所地：</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住所地</w:t>
            </w:r>
            <w:r>
              <w:rPr>
                <w:rFonts w:hint="eastAsia" w:ascii="宋体" w:hAnsi="宋体" w:eastAsia="宋体" w:cs="宋体"/>
                <w:szCs w:val="21"/>
                <w:highlight w:val="none"/>
              </w:rPr>
            </w:r>
            <w:r/>
          </w:p>
        </w:tc>
      </w:tr>
    </w:tbl>
    <w:p>
      <w:pPr>
        <w:pStyle w:val="842"/>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采购代理机构：苏美达国际技术贸易有限公司</w:t>
      </w:r>
      <w:r>
        <w:rPr>
          <w:rFonts w:hint="eastAsia" w:ascii="宋体" w:hAnsi="宋体" w:eastAsia="宋体" w:cs="宋体"/>
          <w:szCs w:val="21"/>
          <w:highlight w:val="none"/>
          <w:lang w:val="zh-CN"/>
        </w:rPr>
      </w:r>
      <w:r/>
    </w:p>
    <w:p>
      <w:pPr>
        <w:pStyle w:val="842"/>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根据《中华人民共和国政府采购法》、《中华人民共和国民法典》等法律法规的规定，甲乙双方按照苏美达国际技术贸易有限公司的</w:t>
      </w:r>
      <w:r>
        <w:rPr>
          <w:rFonts w:hint="eastAsia" w:ascii="宋体" w:hAnsi="宋体" w:eastAsia="宋体" w:cs="宋体"/>
          <w:szCs w:val="21"/>
          <w:highlight w:val="none"/>
          <w:lang w:val="en-US" w:eastAsia="zh-CN"/>
        </w:rPr>
        <w:t xml:space="preserve">公开招标</w:t>
      </w:r>
      <w:r>
        <w:rPr>
          <w:rFonts w:hint="eastAsia" w:ascii="宋体" w:hAnsi="宋体" w:eastAsia="宋体" w:cs="宋体"/>
          <w:szCs w:val="21"/>
          <w:highlight w:val="none"/>
          <w:lang w:val="zh-CN"/>
        </w:rPr>
        <w:t xml:space="preserve">结果签订本合同。</w:t>
      </w:r>
      <w:r>
        <w:rPr>
          <w:rFonts w:hint="eastAsia" w:ascii="宋体" w:hAnsi="宋体" w:eastAsia="宋体" w:cs="宋体"/>
          <w:szCs w:val="21"/>
          <w:highlight w:val="none"/>
        </w:rPr>
      </w:r>
      <w:r/>
    </w:p>
    <w:p>
      <w:pPr>
        <w:pStyle w:val="842"/>
        <w:ind w:firstLine="420"/>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 xml:space="preserve">第一条 合同标的</w:t>
      </w:r>
      <w:r>
        <w:rPr>
          <w:rFonts w:hint="eastAsia" w:ascii="宋体" w:hAnsi="宋体" w:eastAsia="宋体" w:cs="宋体"/>
          <w:szCs w:val="21"/>
          <w:highlight w:val="none"/>
          <w:lang w:val="zh-CN"/>
        </w:rPr>
        <w:t xml:space="preserve">  乙方根据甲方需求提供下列</w:t>
      </w:r>
      <w:r>
        <w:rPr>
          <w:rFonts w:hint="eastAsia" w:ascii="宋体" w:hAnsi="宋体" w:eastAsia="宋体" w:cs="宋体"/>
          <w:szCs w:val="21"/>
          <w:highlight w:val="none"/>
        </w:rPr>
        <w:t xml:space="preserve">货物</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u w:val="single"/>
          <w:lang w:val="zh-CN"/>
        </w:rPr>
        <w:t xml:space="preserve">                    </w:t>
      </w:r>
      <w:r>
        <w:rPr>
          <w:rFonts w:hint="eastAsia" w:ascii="宋体" w:hAnsi="宋体" w:eastAsia="宋体" w:cs="宋体"/>
          <w:szCs w:val="21"/>
          <w:highlight w:val="none"/>
          <w:lang w:val="zh-CN"/>
        </w:rPr>
        <w:t xml:space="preserve">，详见乙方</w:t>
      </w:r>
      <w:r>
        <w:rPr>
          <w:rFonts w:hint="eastAsia" w:ascii="宋体" w:hAnsi="宋体" w:eastAsia="宋体" w:cs="宋体"/>
          <w:szCs w:val="21"/>
          <w:highlight w:val="none"/>
        </w:rPr>
        <w:t xml:space="preserve">响应文件</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 xml:space="preserve">第二条 合同总价款</w:t>
      </w:r>
      <w:r>
        <w:rPr>
          <w:rFonts w:hint="eastAsia" w:ascii="宋体" w:hAnsi="宋体" w:eastAsia="宋体" w:cs="宋体"/>
          <w:szCs w:val="21"/>
          <w:highlight w:val="none"/>
          <w:lang w:val="zh-CN"/>
        </w:rPr>
        <w:t xml:space="preserve">  本合同项下</w:t>
      </w:r>
      <w:r>
        <w:rPr>
          <w:rFonts w:hint="eastAsia" w:ascii="宋体" w:hAnsi="宋体" w:eastAsia="宋体" w:cs="宋体"/>
          <w:szCs w:val="21"/>
          <w:highlight w:val="none"/>
        </w:rPr>
        <w:t xml:space="preserve">货物</w:t>
      </w:r>
      <w:r>
        <w:rPr>
          <w:rFonts w:hint="eastAsia" w:ascii="宋体" w:hAnsi="宋体" w:eastAsia="宋体" w:cs="宋体"/>
          <w:szCs w:val="21"/>
          <w:highlight w:val="none"/>
          <w:lang w:val="zh-CN"/>
        </w:rPr>
        <w:t xml:space="preserve">单价为___________（大写）人民币总价款为___________（大写）人民币，分项价款在“报价表”中有明确规定。</w:t>
      </w:r>
      <w:r>
        <w:rPr>
          <w:rFonts w:hint="eastAsia" w:ascii="宋体" w:hAnsi="宋体" w:eastAsia="宋体" w:cs="宋体"/>
          <w:szCs w:val="21"/>
          <w:highlight w:val="none"/>
          <w:lang w:val="zh-CN"/>
        </w:rPr>
      </w:r>
      <w:r/>
    </w:p>
    <w:p>
      <w:pPr>
        <w:pStyle w:val="842"/>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lang w:val="zh-CN"/>
        </w:rPr>
        <w:t xml:space="preserve">本合同总价款是</w:t>
      </w:r>
      <w:r>
        <w:rPr>
          <w:rFonts w:hint="eastAsia" w:ascii="宋体" w:hAnsi="宋体" w:eastAsia="宋体" w:cs="宋体"/>
          <w:szCs w:val="21"/>
          <w:highlight w:val="none"/>
          <w:lang w:val="zh-CN"/>
        </w:rPr>
        <w:t xml:space="preserve">完成本项目所发生的所有含税费用、支付给员工的工资和国家强制缴纳的各种社会保障资金</w:t>
      </w:r>
      <w:r>
        <w:rPr>
          <w:rFonts w:hint="eastAsia" w:ascii="宋体" w:hAnsi="宋体" w:eastAsia="宋体" w:cs="宋体"/>
          <w:bCs/>
          <w:szCs w:val="21"/>
          <w:highlight w:val="none"/>
        </w:rPr>
        <w:t xml:space="preserve">，以</w:t>
      </w:r>
      <w:r>
        <w:rPr>
          <w:rFonts w:hint="eastAsia" w:ascii="宋体" w:hAnsi="宋体" w:eastAsia="宋体" w:cs="宋体"/>
          <w:szCs w:val="21"/>
          <w:highlight w:val="none"/>
        </w:rPr>
        <w:t xml:space="preserve">及供应商认为需要的其他费用等</w:t>
      </w:r>
      <w:r>
        <w:rPr>
          <w:rFonts w:hint="eastAsia" w:ascii="宋体" w:hAnsi="宋体" w:eastAsia="宋体" w:cs="宋体"/>
          <w:szCs w:val="21"/>
          <w:highlight w:val="none"/>
          <w:lang w:val="zh-CN"/>
        </w:rPr>
        <w:t xml:space="preserve">。</w:t>
      </w:r>
      <w:r>
        <w:rPr>
          <w:rFonts w:hint="eastAsia" w:ascii="宋体" w:hAnsi="宋体" w:eastAsia="宋体" w:cs="宋体"/>
          <w:b/>
          <w:szCs w:val="21"/>
          <w:highlight w:val="none"/>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本合同执行期间合同总价款不变。</w:t>
      </w:r>
      <w:r>
        <w:rPr>
          <w:rFonts w:hint="eastAsia" w:ascii="宋体" w:hAnsi="宋体" w:eastAsia="宋体" w:cs="宋体"/>
          <w:szCs w:val="21"/>
          <w:highlight w:val="none"/>
          <w:lang w:val="zh-CN"/>
        </w:rPr>
      </w:r>
      <w:r/>
    </w:p>
    <w:p>
      <w:pPr>
        <w:pStyle w:val="842"/>
        <w:ind w:firstLine="413"/>
        <w:spacing w:line="360" w:lineRule="auto"/>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 xml:space="preserve">第三条 组成本合同的有关文件</w:t>
      </w:r>
      <w:r>
        <w:rPr>
          <w:rFonts w:hint="eastAsia" w:ascii="宋体" w:hAnsi="宋体" w:eastAsia="宋体" w:cs="宋体"/>
          <w:szCs w:val="21"/>
          <w:highlight w:val="none"/>
          <w:lang w:val="zh-CN"/>
        </w:rPr>
        <w:t xml:space="preserve">  下列关于</w:t>
      </w:r>
      <w:r>
        <w:rPr>
          <w:rFonts w:hint="eastAsia" w:ascii="宋体" w:hAnsi="宋体" w:eastAsia="宋体" w:cs="宋体"/>
          <w:b/>
          <w:szCs w:val="21"/>
          <w:highlight w:val="none"/>
          <w:u w:val="single"/>
          <w:lang w:val="en-US" w:eastAsia="zh-CN"/>
        </w:rPr>
        <w:t xml:space="preserve">        </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u w:val="single"/>
          <w:lang w:val="zh-CN"/>
        </w:rPr>
        <w:t xml:space="preserve">号</w:t>
      </w:r>
      <w:r>
        <w:rPr>
          <w:rFonts w:hint="eastAsia" w:ascii="宋体" w:hAnsi="宋体" w:eastAsia="宋体" w:cs="宋体"/>
          <w:szCs w:val="21"/>
          <w:highlight w:val="none"/>
          <w:lang w:val="zh-CN"/>
        </w:rPr>
        <w:t xml:space="preserve">的</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文件、供应商</w:t>
      </w:r>
      <w:r>
        <w:rPr>
          <w:rFonts w:hint="eastAsia" w:ascii="宋体" w:hAnsi="宋体" w:eastAsia="宋体" w:cs="宋体"/>
          <w:szCs w:val="21"/>
          <w:highlight w:val="none"/>
          <w:lang w:val="en-US" w:eastAsia="zh-CN"/>
        </w:rPr>
        <w:t xml:space="preserve">投标</w:t>
      </w:r>
      <w:r>
        <w:rPr>
          <w:rFonts w:hint="eastAsia" w:ascii="宋体" w:hAnsi="宋体" w:eastAsia="宋体" w:cs="宋体"/>
          <w:szCs w:val="21"/>
          <w:highlight w:val="none"/>
        </w:rPr>
        <w:t xml:space="preserve">文件</w:t>
      </w:r>
      <w:r>
        <w:rPr>
          <w:rFonts w:hint="eastAsia" w:ascii="宋体" w:hAnsi="宋体" w:eastAsia="宋体" w:cs="宋体"/>
          <w:szCs w:val="21"/>
          <w:highlight w:val="none"/>
          <w:lang w:val="zh-CN"/>
        </w:rPr>
        <w:t xml:space="preserve">，或与本次采购活动方式相适应的文件，以及有关附件是本合同不可分割的组成部分，与本合同具有同等法律效力，这些文件包括但不限于：</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（1）乙方提供的响应文件和报价表；</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（2）技术规格响应表；</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（3）服务承诺；</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w:t>
      </w:r>
      <w:r>
        <w:rPr>
          <w:rFonts w:hint="eastAsia" w:ascii="宋体" w:hAnsi="宋体" w:eastAsia="宋体" w:cs="宋体"/>
          <w:szCs w:val="21"/>
          <w:highlight w:val="none"/>
        </w:rPr>
        <w:t xml:space="preserve">中标</w:t>
      </w:r>
      <w:r>
        <w:rPr>
          <w:rFonts w:hint="eastAsia" w:ascii="宋体" w:hAnsi="宋体" w:eastAsia="宋体" w:cs="宋体"/>
          <w:szCs w:val="21"/>
          <w:highlight w:val="none"/>
          <w:lang w:val="zh-CN"/>
        </w:rPr>
        <w:t xml:space="preserve">通知书；</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（5）甲乙双方商定的其他文件等。</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第四条 权利保证</w:t>
      </w:r>
      <w:r>
        <w:rPr>
          <w:rFonts w:hint="eastAsia" w:ascii="宋体" w:hAnsi="宋体" w:eastAsia="宋体" w:cs="宋体"/>
          <w:b/>
          <w:bCs/>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第五条 质量保证</w:t>
      </w:r>
      <w:r>
        <w:rPr>
          <w:rFonts w:hint="eastAsia" w:ascii="宋体" w:hAnsi="宋体" w:eastAsia="宋体" w:cs="宋体"/>
          <w:b/>
          <w:bCs/>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乙方所提供的服务的技术规格应与采购文件规定的技术规格及所附的“技术条款偏离表”相一致；若技术性能无特殊说明，则按国家有关部门最新颁布的标准及规范为准。</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第六条 交付和验收</w:t>
      </w:r>
      <w:r>
        <w:rPr>
          <w:rFonts w:hint="eastAsia" w:ascii="宋体" w:hAnsi="宋体" w:eastAsia="宋体" w:cs="宋体"/>
          <w:b/>
          <w:bCs/>
          <w:szCs w:val="21"/>
          <w:highlight w:val="none"/>
          <w:lang w:val="zh-CN"/>
        </w:rPr>
      </w:r>
      <w:r/>
    </w:p>
    <w:p>
      <w:pPr>
        <w:pStyle w:val="842"/>
        <w:ind w:firstLine="420"/>
        <w:jc w:val="left"/>
        <w:spacing w:line="360" w:lineRule="auto"/>
        <w:rPr>
          <w:rFonts w:hint="eastAsia" w:ascii="宋体" w:hAnsi="宋体" w:eastAsia="宋体" w:cs="宋体"/>
          <w:szCs w:val="21"/>
          <w:highlight w:val="none"/>
          <w:u w:val="single"/>
          <w:lang w:val="zh-CN"/>
        </w:rPr>
      </w:pPr>
      <w:r>
        <w:rPr>
          <w:rFonts w:hint="eastAsia" w:ascii="宋体" w:hAnsi="宋体" w:eastAsia="宋体" w:cs="宋体"/>
          <w:szCs w:val="21"/>
          <w:highlight w:val="none"/>
          <w:lang w:val="zh-CN"/>
        </w:rPr>
        <w:t xml:space="preserve">1、乙方应当在</w:t>
      </w:r>
      <w:r>
        <w:rPr>
          <w:rFonts w:hint="eastAsia" w:ascii="宋体" w:hAnsi="宋体" w:eastAsia="宋体" w:cs="宋体"/>
          <w:b/>
          <w:szCs w:val="21"/>
          <w:highlight w:val="none"/>
          <w:lang w:val="zh-CN"/>
        </w:rPr>
        <w:t xml:space="preserve">合同签订后  天内</w:t>
      </w:r>
      <w:r>
        <w:rPr>
          <w:rFonts w:hint="eastAsia" w:ascii="宋体" w:hAnsi="宋体" w:eastAsia="宋体" w:cs="宋体"/>
          <w:szCs w:val="21"/>
          <w:highlight w:val="none"/>
          <w:lang w:val="zh-CN"/>
        </w:rPr>
        <w:t xml:space="preserve">完成服务事项。</w:t>
      </w:r>
      <w:r>
        <w:rPr>
          <w:rFonts w:hint="eastAsia" w:ascii="宋体" w:hAnsi="宋体" w:eastAsia="宋体" w:cs="宋体"/>
          <w:szCs w:val="21"/>
          <w:highlight w:val="none"/>
          <w:u w:val="singl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2、验收标准：按行业通行标准和乙方响应文件的承诺（详见合同附件载明的标准，并不低于国家相关标准）。</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第七条 履约保证金</w:t>
      </w:r>
      <w:r>
        <w:rPr>
          <w:rFonts w:hint="eastAsia" w:ascii="宋体" w:hAnsi="宋体" w:eastAsia="宋体" w:cs="宋体"/>
          <w:b/>
          <w:bCs/>
          <w:szCs w:val="21"/>
          <w:highlight w:val="none"/>
          <w:lang w:val="zh-CN"/>
        </w:rPr>
      </w:r>
      <w:r/>
    </w:p>
    <w:p>
      <w:pPr>
        <w:pStyle w:val="842"/>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1、该项目签订合同时须向</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lang w:val="zh-CN"/>
        </w:rPr>
        <w:t xml:space="preserve">缴纳合同总额的3%作为履约保证金，缴纳方式建议采用银行保函，质保期满无质量或服务问题无息退还；</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2、如乙方未能履行合同规定的义务，甲方有权从履约保证金中取得补偿。</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i/>
          <w:iCs/>
          <w:szCs w:val="21"/>
          <w:highlight w:val="none"/>
          <w:lang w:val="zh-CN"/>
        </w:rPr>
      </w:pPr>
      <w:r>
        <w:rPr>
          <w:rFonts w:hint="eastAsia" w:ascii="宋体" w:hAnsi="宋体" w:eastAsia="宋体" w:cs="宋体"/>
          <w:szCs w:val="21"/>
          <w:highlight w:val="none"/>
          <w:lang w:val="zh-CN"/>
        </w:rPr>
        <w:t xml:space="preserve">3、履约保证金扣除甲方应得的补偿后的余额在有效期满后七工作日内无息退还给乙方。</w:t>
      </w:r>
      <w:r>
        <w:rPr>
          <w:rFonts w:hint="eastAsia" w:ascii="宋体" w:hAnsi="宋体" w:eastAsia="宋体" w:cs="宋体"/>
          <w:i/>
          <w:iCs/>
          <w:szCs w:val="21"/>
          <w:highlight w:val="none"/>
          <w:lang w:val="zh-CN"/>
        </w:rPr>
      </w:r>
      <w:r/>
    </w:p>
    <w:p>
      <w:pPr>
        <w:pStyle w:val="842"/>
        <w:ind w:firstLine="420"/>
        <w:jc w:val="left"/>
        <w:spacing w:line="360" w:lineRule="auto"/>
        <w:rPr>
          <w:rFonts w:hint="eastAsia" w:ascii="宋体" w:hAnsi="宋体" w:eastAsia="宋体" w:cs="宋体"/>
          <w:b/>
          <w:bCs/>
          <w:i/>
          <w:iCs/>
          <w:szCs w:val="21"/>
          <w:highlight w:val="none"/>
          <w:lang w:val="zh-CN"/>
        </w:rPr>
      </w:pPr>
      <w:r>
        <w:rPr>
          <w:rFonts w:hint="eastAsia" w:ascii="宋体" w:hAnsi="宋体" w:eastAsia="宋体" w:cs="宋体"/>
          <w:b/>
          <w:bCs/>
          <w:szCs w:val="21"/>
          <w:highlight w:val="none"/>
          <w:lang w:val="zh-CN"/>
        </w:rPr>
        <w:t xml:space="preserve">第八条 合同款支付</w:t>
      </w:r>
      <w:r>
        <w:rPr>
          <w:rFonts w:hint="eastAsia" w:ascii="宋体" w:hAnsi="宋体" w:eastAsia="宋体" w:cs="宋体"/>
          <w:b/>
          <w:bCs/>
          <w:i/>
          <w:iCs/>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1、本合同项下所有款项均以人民币支付。</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2、本合同项下的采购资金由国库集中支付或甲方自行支付，乙方向甲方开具发票。</w:t>
      </w:r>
      <w:r>
        <w:rPr>
          <w:rFonts w:hint="eastAsia" w:ascii="宋体" w:hAnsi="宋体" w:eastAsia="宋体" w:cs="宋体"/>
          <w:szCs w:val="21"/>
          <w:highlight w:val="none"/>
          <w:lang w:val="zh-CN"/>
        </w:rPr>
      </w:r>
      <w:r/>
    </w:p>
    <w:p>
      <w:pPr>
        <w:pStyle w:val="842"/>
        <w:ind w:firstLine="420"/>
        <w:jc w:val="left"/>
        <w:spacing w:line="360" w:lineRule="auto"/>
        <w:rPr>
          <w:rFonts w:hint="eastAsia" w:ascii="宋体" w:hAnsi="宋体" w:eastAsia="宋体" w:cs="宋体"/>
          <w:b/>
          <w:szCs w:val="21"/>
          <w:highlight w:val="none"/>
        </w:rPr>
      </w:pPr>
      <w:r>
        <w:rPr>
          <w:rFonts w:hint="eastAsia" w:ascii="宋体" w:hAnsi="宋体" w:eastAsia="宋体" w:cs="宋体"/>
          <w:b/>
          <w:szCs w:val="21"/>
          <w:highlight w:val="none"/>
          <w:lang w:val="zh-CN"/>
        </w:rPr>
        <w:t xml:space="preserve">3、付款条件：</w:t>
      </w:r>
      <w:r>
        <w:rPr>
          <w:rFonts w:hint="eastAsia" w:ascii="宋体" w:hAnsi="宋体" w:eastAsia="宋体" w:cs="宋体"/>
          <w:b/>
          <w:szCs w:val="21"/>
          <w:highlight w:val="none"/>
        </w:rPr>
        <w:t xml:space="preserve">详见采购文件</w:t>
      </w:r>
      <w:r>
        <w:rPr>
          <w:rFonts w:hint="eastAsia" w:ascii="宋体" w:hAnsi="宋体" w:eastAsia="宋体" w:cs="宋体"/>
          <w:b/>
          <w:szCs w:val="21"/>
          <w:highlight w:val="none"/>
        </w:rPr>
      </w:r>
      <w:r/>
    </w:p>
    <w:p>
      <w:pPr>
        <w:pStyle w:val="842"/>
        <w:ind w:firstLine="420"/>
        <w:jc w:val="left"/>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第九条 违约责任</w:t>
      </w:r>
      <w:r>
        <w:rPr>
          <w:rFonts w:hint="eastAsia" w:ascii="宋体" w:hAnsi="宋体" w:eastAsia="宋体" w:cs="宋体"/>
          <w:b/>
          <w:bCs/>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１、甲方无正当理由拒收服务、拒付服务款的，甲方向乙方偿付合同总价的5%违约金。</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２、甲方未按合同规定的期限向乙方支付货款的，每逾期1天甲方向乙方偿付欠款总额的5‰滞纳金，但累计滞纳金总额不超过欠款总额的5%。</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３、如乙方不能交付服务的，甲方有权扣留全部履约保证金；同时乙方应向甲方支付合同总价5%的违约金。</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４、乙方逾期交付的，每逾期1天，乙方向甲方偿付合同总额的5‰的滞纳金。如乙方逾期交付达10天，甲方有权解除合同，解除合同的通知自到达乙方时生效。</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５、乙方所交付的服务不符合合同规定的，甲方有权拒收。甲方拒收的，乙方应向甲方支付合同总款5%的违约金。甲方未拒收的，</w:t>
      </w:r>
      <w:r>
        <w:rPr>
          <w:rFonts w:hint="eastAsia" w:ascii="宋体" w:hAnsi="宋体" w:eastAsia="宋体" w:cs="宋体"/>
          <w:szCs w:val="21"/>
          <w:highlight w:val="none"/>
        </w:rPr>
        <w:t xml:space="preserve">采购代理机构</w:t>
      </w:r>
      <w:r>
        <w:rPr>
          <w:rFonts w:hint="eastAsia" w:ascii="宋体" w:hAnsi="宋体" w:eastAsia="宋体" w:cs="宋体"/>
          <w:szCs w:val="21"/>
          <w:highlight w:val="none"/>
          <w:lang w:val="zh-CN"/>
        </w:rPr>
        <w:t xml:space="preserve">发现后将向有关部门反映，并责成乙方按照采购结果提供服务，同时视情给予不退还部分或全部履约保证金处理。</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7、乙方未按本合同的规定和“服务承诺”提供伴随服务/售后服务的，应按合同总价款的5 %向甲方承担违约责任。</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9、乙方响应属虚假承诺，或经权威部门监测提供的服务不能满足</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文件要求，或是由于乙方的过错造成合同无法继续履行的，乙方履约保证金不予退还外，还应向甲方支付不少于合同总价30%赔偿金。</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第十条 合同的变更和终止</w:t>
      </w:r>
      <w:r>
        <w:rPr>
          <w:rFonts w:hint="eastAsia" w:ascii="宋体" w:hAnsi="宋体" w:eastAsia="宋体" w:cs="宋体"/>
          <w:b/>
          <w:bCs/>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1、除《政府采购法》第50条第二款规定的情形外，本合同一经签订，甲乙双方不得擅自变更、中止或终止合同。</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w:t>
      </w:r>
      <w:r>
        <w:rPr>
          <w:rFonts w:hint="eastAsia" w:ascii="宋体" w:hAnsi="宋体" w:eastAsia="宋体" w:cs="宋体"/>
          <w:szCs w:val="21"/>
          <w:highlight w:val="none"/>
        </w:rPr>
        <w:t xml:space="preserve">除发生法律规定的不能预见、不能避免并不能克服的客观情况外，甲乙双方不得放弃或拒绝履行合同。乙方放弃或拒绝履行合同，保证金不予退还。</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第十一条 合同的转让</w:t>
      </w:r>
      <w:r>
        <w:rPr>
          <w:rFonts w:hint="eastAsia" w:ascii="宋体" w:hAnsi="宋体" w:eastAsia="宋体" w:cs="宋体"/>
          <w:b/>
          <w:bCs/>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乙方不得擅自部分或全部转让其应履行的合同义务。</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第十二条 争议的解决</w:t>
      </w:r>
      <w:r>
        <w:rPr>
          <w:rFonts w:hint="eastAsia" w:ascii="宋体" w:hAnsi="宋体" w:eastAsia="宋体" w:cs="宋体"/>
          <w:b/>
          <w:bCs/>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szCs w:val="21"/>
          <w:highlight w:val="none"/>
          <w:lang w:val="zh-CN"/>
        </w:rPr>
      </w:r>
      <w:r/>
    </w:p>
    <w:p>
      <w:pPr>
        <w:pStyle w:val="842"/>
        <w:ind w:firstLine="56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（1）向甲方所在地有管辖权的人民法院提起诉讼；</w:t>
      </w:r>
      <w:r>
        <w:rPr>
          <w:rFonts w:hint="eastAsia" w:ascii="宋体" w:hAnsi="宋体" w:eastAsia="宋体" w:cs="宋体"/>
          <w:szCs w:val="21"/>
          <w:highlight w:val="none"/>
          <w:lang w:val="zh-CN"/>
        </w:rPr>
      </w:r>
      <w:r/>
    </w:p>
    <w:p>
      <w:pPr>
        <w:pStyle w:val="842"/>
        <w:ind w:firstLine="56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（2）向南京仲裁委员会按其仲裁规则申请仲裁。</w:t>
      </w:r>
      <w:r>
        <w:rPr>
          <w:rFonts w:hint="eastAsia" w:ascii="宋体" w:hAnsi="宋体" w:eastAsia="宋体" w:cs="宋体"/>
          <w:szCs w:val="21"/>
          <w:highlight w:val="none"/>
          <w:lang w:val="zh-CN"/>
        </w:rPr>
      </w:r>
      <w:r/>
    </w:p>
    <w:p>
      <w:pPr>
        <w:pStyle w:val="842"/>
        <w:ind w:firstLine="56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如没有约定，默认采取第2种方式解决争议。</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3、在仲裁期间，本合同应继续履行。</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第十三条 诚实信用 </w:t>
      </w:r>
      <w:r>
        <w:rPr>
          <w:rFonts w:hint="eastAsia" w:ascii="宋体" w:hAnsi="宋体" w:eastAsia="宋体" w:cs="宋体"/>
          <w:b/>
          <w:bCs/>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乙方应诚实信用，严格按照</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lang w:val="zh-CN"/>
        </w:rPr>
        <w:t xml:space="preserve">文件要求和响应承诺履行合同，不向甲方进行商业贿赂或者提供不正当利益。</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第十四条 合同生效及其他</w:t>
      </w:r>
      <w:r>
        <w:rPr>
          <w:rFonts w:hint="eastAsia" w:ascii="宋体" w:hAnsi="宋体" w:eastAsia="宋体" w:cs="宋体"/>
          <w:b/>
          <w:bCs/>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1、本合同自签订之日起生效。</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2、本合同一式</w:t>
      </w:r>
      <w:r>
        <w:rPr>
          <w:rFonts w:hint="eastAsia" w:ascii="宋体" w:hAnsi="宋体" w:eastAsia="宋体" w:cs="宋体"/>
          <w:szCs w:val="21"/>
          <w:highlight w:val="none"/>
        </w:rPr>
        <w:t xml:space="preserve">三</w:t>
      </w:r>
      <w:r>
        <w:rPr>
          <w:rFonts w:hint="eastAsia" w:ascii="宋体" w:hAnsi="宋体" w:eastAsia="宋体" w:cs="宋体"/>
          <w:szCs w:val="21"/>
          <w:highlight w:val="none"/>
          <w:lang w:val="zh-CN"/>
        </w:rPr>
        <w:t xml:space="preserve">份，甲乙双方各执一份，一份报送</w:t>
      </w:r>
      <w:r>
        <w:rPr>
          <w:rFonts w:hint="eastAsia" w:ascii="宋体" w:hAnsi="宋体" w:eastAsia="宋体" w:cs="宋体"/>
          <w:szCs w:val="21"/>
          <w:highlight w:val="none"/>
        </w:rPr>
        <w:t xml:space="preserve">代理机构</w:t>
      </w:r>
      <w:r>
        <w:rPr>
          <w:rFonts w:hint="eastAsia" w:ascii="宋体" w:hAnsi="宋体" w:eastAsia="宋体" w:cs="宋体"/>
          <w:szCs w:val="21"/>
          <w:highlight w:val="none"/>
          <w:lang w:val="zh-CN"/>
        </w:rPr>
        <w:t xml:space="preserve">备案。</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3、本合同应按照中华人民共和国的现行法律进行解释。</w:t>
      </w:r>
      <w:r>
        <w:rPr>
          <w:rFonts w:hint="eastAsia" w:ascii="宋体" w:hAnsi="宋体" w:eastAsia="宋体" w:cs="宋体"/>
          <w:szCs w:val="21"/>
          <w:highlight w:val="none"/>
          <w:lang w:val="zh-CN"/>
        </w:rPr>
      </w:r>
      <w:r/>
    </w:p>
    <w:p>
      <w:pPr>
        <w:pStyle w:val="842"/>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bl>
      <w:tblPr>
        <w:tblW w:w="0" w:type="auto"/>
        <w:tblInd w:w="-105"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甲方（采购人）：（盖章）</w:t>
            </w:r>
            <w:r>
              <w:rPr>
                <w:rFonts w:hint="eastAsia" w:ascii="宋体" w:hAnsi="宋体" w:eastAsia="宋体" w:cs="宋体"/>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乙方（供应商）：（盖章）</w:t>
            </w:r>
            <w:r>
              <w:rPr>
                <w:rFonts w:hint="eastAsia" w:ascii="宋体" w:hAnsi="宋体" w:eastAsia="宋体" w:cs="宋体"/>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代表人：</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代表人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电</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话：</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电</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话：</w:t>
            </w:r>
            <w:r>
              <w:rPr>
                <w:rFonts w:hint="eastAsia" w:ascii="宋体" w:hAnsi="宋体" w:eastAsia="宋体" w:cs="宋体"/>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开户银行：</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开户银行：</w:t>
            </w:r>
            <w:r>
              <w:rPr>
                <w:rFonts w:hint="eastAsia" w:ascii="宋体" w:hAnsi="宋体" w:eastAsia="宋体" w:cs="宋体"/>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帐</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号：</w:t>
            </w:r>
            <w:r>
              <w:rPr>
                <w:rFonts w:hint="eastAsia" w:ascii="宋体" w:hAnsi="宋体" w:eastAsia="宋体" w:cs="宋体"/>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42"/>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帐</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号：</w:t>
            </w:r>
            <w:r>
              <w:rPr>
                <w:rFonts w:hint="eastAsia" w:ascii="宋体" w:hAnsi="宋体" w:eastAsia="宋体" w:cs="宋体"/>
                <w:szCs w:val="21"/>
                <w:highlight w:val="none"/>
                <w:lang w:val="zh-CN"/>
              </w:rPr>
            </w:r>
            <w:r/>
          </w:p>
          <w:p>
            <w:pPr>
              <w:pStyle w:val="842"/>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tc>
      </w:tr>
    </w:tbl>
    <w:p>
      <w:pPr>
        <w:pStyle w:val="842"/>
        <w:rPr>
          <w:rFonts w:ascii="黑体" w:hAnsi="宋体" w:eastAsia="黑体" w:cs="Times New Roman"/>
          <w:b/>
          <w:bCs/>
          <w:sz w:val="32"/>
          <w:szCs w:val="32"/>
          <w:highlight w:val="none"/>
        </w:rPr>
      </w:pPr>
      <w:r>
        <w:rPr>
          <w:rFonts w:hint="eastAsia" w:ascii="黑体" w:hAnsi="宋体" w:eastAsia="黑体" w:cs="Times New Roman"/>
          <w:b/>
          <w:bCs/>
          <w:sz w:val="32"/>
          <w:szCs w:val="32"/>
          <w:highlight w:val="none"/>
        </w:rPr>
        <w:br w:type="page" w:clear="all"/>
      </w:r>
      <w:r>
        <w:rPr>
          <w:rFonts w:ascii="黑体" w:hAnsi="宋体" w:eastAsia="黑体" w:cs="Times New Roman"/>
          <w:b/>
          <w:bCs/>
          <w:sz w:val="32"/>
          <w:szCs w:val="32"/>
          <w:highlight w:val="none"/>
        </w:rPr>
        <w:t xml:space="preserve"> </w:t>
      </w:r>
      <w:r>
        <w:rPr>
          <w:rFonts w:ascii="黑体" w:hAnsi="宋体" w:eastAsia="黑体" w:cs="Times New Roman"/>
          <w:b/>
          <w:bCs/>
          <w:sz w:val="32"/>
          <w:szCs w:val="32"/>
          <w:highlight w:val="none"/>
        </w:rPr>
      </w:r>
      <w:r/>
    </w:p>
    <w:p>
      <w:pPr>
        <w:pStyle w:val="842"/>
        <w:numPr>
          <w:ilvl w:val="0"/>
          <w:numId w:val="0"/>
        </w:numPr>
        <w:ind w:left="0" w:firstLine="0"/>
        <w:jc w:val="center"/>
        <w:spacing w:line="440" w:lineRule="exact"/>
        <w:rPr>
          <w:rFonts w:ascii="Arial" w:hAnsi="Arial" w:eastAsia="黑体" w:cs="Arial"/>
          <w:b/>
          <w:sz w:val="28"/>
          <w:szCs w:val="28"/>
          <w:highlight w:val="none"/>
        </w:rPr>
        <w:outlineLvl w:val="0"/>
      </w:pPr>
      <w:r>
        <w:rPr>
          <w:rFonts w:ascii="Arial" w:hAnsi="Arial" w:eastAsia="黑体" w:cs="Arial"/>
          <w:b/>
          <w:sz w:val="28"/>
          <w:szCs w:val="28"/>
          <w:highlight w:val="none"/>
          <w:lang w:val="en-US" w:eastAsia="zh-CN" w:bidi="ar-SA"/>
        </w:rPr>
        <w:t xml:space="preserve">第六章</w:t>
      </w:r>
      <w:r>
        <w:rPr>
          <w:rFonts w:ascii="Arial" w:hAnsi="Arial" w:eastAsia="黑体" w:cs="Arial"/>
          <w:b/>
          <w:sz w:val="28"/>
          <w:szCs w:val="28"/>
          <w:highlight w:val="none"/>
        </w:rPr>
        <w:t xml:space="preserve"> 投标文件格式及附件</w:t>
      </w:r>
      <w:r>
        <w:rPr>
          <w:rFonts w:ascii="Arial" w:hAnsi="Arial" w:eastAsia="黑体" w:cs="Arial"/>
          <w:b/>
          <w:sz w:val="28"/>
          <w:szCs w:val="28"/>
          <w:highlight w:val="none"/>
        </w:rPr>
      </w:r>
      <w:r/>
    </w:p>
    <w:p>
      <w:pPr>
        <w:pStyle w:val="842"/>
        <w:spacing w:line="440" w:lineRule="exact"/>
        <w:rPr>
          <w:rFonts w:hint="eastAsia" w:ascii="Arial" w:hAnsi="Arial" w:cs="Arial"/>
          <w:b/>
          <w:bCs/>
          <w:sz w:val="24"/>
          <w:highlight w:val="none"/>
        </w:rPr>
      </w:pPr>
      <w:r>
        <w:rPr>
          <w:rFonts w:hint="eastAsia" w:ascii="Arial" w:hAnsi="Arial" w:cs="Arial"/>
          <w:b/>
          <w:bCs/>
          <w:sz w:val="24"/>
          <w:highlight w:val="none"/>
        </w:rPr>
        <w:t xml:space="preserve">注：</w:t>
      </w:r>
      <w:r>
        <w:rPr>
          <w:rFonts w:hint="eastAsia" w:ascii="Arial" w:hAnsi="Arial" w:cs="Arial"/>
          <w:b/>
          <w:bCs/>
          <w:sz w:val="24"/>
          <w:highlight w:val="none"/>
        </w:rPr>
      </w:r>
      <w:r/>
    </w:p>
    <w:p>
      <w:pPr>
        <w:pStyle w:val="84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rPr>
          <w:rFonts w:hint="eastAsia" w:ascii="宋体" w:hAnsi="宋体" w:cs="宋体"/>
          <w:color w:val="000000"/>
          <w:szCs w:val="21"/>
          <w:highlight w:val="none"/>
        </w:rPr>
      </w:r>
      <w:r/>
    </w:p>
    <w:p>
      <w:pPr>
        <w:pStyle w:val="84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rPr>
          <w:rFonts w:hint="eastAsia" w:ascii="宋体" w:hAnsi="宋体" w:cs="宋体"/>
          <w:color w:val="000000"/>
          <w:szCs w:val="21"/>
          <w:highlight w:val="none"/>
        </w:rPr>
      </w:r>
      <w:r/>
    </w:p>
    <w:p>
      <w:pPr>
        <w:pStyle w:val="84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rPr>
          <w:rFonts w:hint="eastAsia" w:ascii="宋体" w:hAnsi="宋体" w:cs="宋体"/>
          <w:color w:val="000000"/>
          <w:szCs w:val="21"/>
          <w:highlight w:val="none"/>
        </w:rPr>
      </w:r>
      <w:r/>
    </w:p>
    <w:p>
      <w:pPr>
        <w:pStyle w:val="84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rPr>
          <w:rFonts w:hint="eastAsia" w:ascii="宋体" w:hAnsi="宋体" w:cs="宋体"/>
          <w:color w:val="000000"/>
          <w:szCs w:val="21"/>
          <w:highlight w:val="none"/>
        </w:rPr>
      </w:r>
      <w:r/>
    </w:p>
    <w:p>
      <w:pPr>
        <w:pStyle w:val="84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rPr>
          <w:rFonts w:hint="eastAsia" w:ascii="宋体" w:hAnsi="宋体" w:cs="宋体"/>
          <w:color w:val="000000"/>
          <w:szCs w:val="21"/>
          <w:highlight w:val="none"/>
        </w:rPr>
      </w:r>
      <w:r/>
    </w:p>
    <w:p>
      <w:pPr>
        <w:pStyle w:val="84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rPr>
          <w:rFonts w:hint="eastAsia" w:ascii="宋体" w:hAnsi="宋体" w:cs="宋体"/>
          <w:color w:val="000000"/>
          <w:szCs w:val="21"/>
          <w:highlight w:val="none"/>
        </w:rPr>
      </w:r>
      <w:r/>
    </w:p>
    <w:p>
      <w:pPr>
        <w:pStyle w:val="842"/>
        <w:spacing w:line="360" w:lineRule="auto"/>
        <w:rPr>
          <w:rFonts w:hint="eastAsia" w:ascii="宋体" w:hAnsi="宋体" w:cs="宋体"/>
          <w:sz w:val="24"/>
          <w:highlight w:val="none"/>
        </w:rPr>
        <w:sectPr>
          <w:headerReference w:type="default" r:id="rId11"/>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highlight w:val="none"/>
        </w:rPr>
        <w:t xml:space="preserve"> </w:t>
      </w:r>
      <w:r>
        <w:rPr>
          <w:rFonts w:hint="eastAsia" w:ascii="宋体" w:hAnsi="宋体" w:cs="宋体"/>
          <w:sz w:val="24"/>
          <w:highlight w:val="none"/>
        </w:rPr>
      </w:r>
      <w:r/>
    </w:p>
    <w:p>
      <w:pPr>
        <w:pStyle w:val="887"/>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887"/>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8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投标文件</w:t>
      </w:r>
      <w:r>
        <w:rPr>
          <w:highlight w:val="none"/>
        </w:rPr>
      </w:r>
      <w:r/>
    </w:p>
    <w:p>
      <w:pPr>
        <w:pStyle w:val="8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rPr>
          <w:highlight w:val="none"/>
        </w:rPr>
      </w:r>
      <w:r/>
    </w:p>
    <w:p>
      <w:pPr>
        <w:pStyle w:val="8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rPr>
          <w:highlight w:val="none"/>
        </w:rPr>
      </w:r>
      <w:r/>
    </w:p>
    <w:p>
      <w:pPr>
        <w:pStyle w:val="8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8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887"/>
        <w:jc w:val="center"/>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highlight w:val="none"/>
        </w:rPr>
      </w:r>
      <w:r/>
    </w:p>
    <w:p>
      <w:pPr>
        <w:pStyle w:val="887"/>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rPr>
          <w:highlight w:val="none"/>
        </w:rPr>
      </w:r>
      <w:r/>
    </w:p>
    <w:p>
      <w:pPr>
        <w:pStyle w:val="887"/>
        <w:ind w:firstLine="1081"/>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rPr>
          <w:highlight w:val="none"/>
        </w:rPr>
      </w:r>
      <w:r/>
    </w:p>
    <w:p>
      <w:pPr>
        <w:pStyle w:val="887"/>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rPr>
          <w:highlight w:val="none"/>
        </w:rPr>
      </w:r>
      <w:r/>
    </w:p>
    <w:p>
      <w:pPr>
        <w:pStyle w:val="887"/>
        <w:jc w:val="both"/>
        <w:spacing w:beforeAutospacing="0" w:afterAutospacing="0"/>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rPr>
          <w:highlight w:val="none"/>
        </w:rPr>
      </w:r>
      <w:r/>
    </w:p>
    <w:p>
      <w:pPr>
        <w:pStyle w:val="842"/>
        <w:jc w:val="center"/>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rPr>
          <w:rFonts w:hint="eastAsia" w:ascii="宋体" w:hAnsi="宋体" w:cs="宋体"/>
          <w:b/>
          <w:sz w:val="36"/>
          <w:szCs w:val="36"/>
          <w:highlight w:val="none"/>
        </w:rPr>
      </w:pPr>
      <w:r>
        <w:rPr>
          <w:rFonts w:hint="eastAsia" w:ascii="宋体" w:hAnsi="宋体" w:cs="宋体"/>
          <w:b/>
          <w:sz w:val="36"/>
          <w:szCs w:val="36"/>
          <w:highlight w:val="none"/>
        </w:rPr>
      </w:r>
      <w:r/>
    </w:p>
    <w:p>
      <w:pPr>
        <w:pStyle w:val="842"/>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t xml:space="preserve">（一）投标函(格式)：</w:t>
      </w:r>
      <w:r>
        <w:rPr>
          <w:rFonts w:hint="eastAsia" w:ascii="宋体" w:hAnsi="宋体" w:cs="宋体"/>
          <w:b/>
          <w:sz w:val="24"/>
          <w:szCs w:val="24"/>
          <w:highlight w:val="none"/>
        </w:rPr>
      </w:r>
      <w:r/>
    </w:p>
    <w:p>
      <w:pPr>
        <w:pStyle w:val="842"/>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投  标  函</w:t>
      </w:r>
      <w:r>
        <w:rPr>
          <w:rFonts w:hint="eastAsia" w:ascii="宋体" w:hAnsi="宋体" w:cs="宋体"/>
          <w:b/>
          <w:sz w:val="36"/>
          <w:szCs w:val="28"/>
          <w:highlight w:val="none"/>
        </w:rPr>
      </w:r>
      <w:r/>
    </w:p>
    <w:p>
      <w:pPr>
        <w:pStyle w:val="842"/>
        <w:spacing w:line="360" w:lineRule="auto"/>
        <w:rPr>
          <w:rFonts w:hint="eastAsia" w:ascii="宋体" w:hAnsi="宋体" w:cs="宋体"/>
          <w:bCs/>
          <w:szCs w:val="21"/>
          <w:highlight w:val="none"/>
        </w:rPr>
      </w:pPr>
      <w:r>
        <w:rPr>
          <w:rFonts w:hint="eastAsia" w:ascii="宋体" w:hAnsi="宋体" w:cs="宋体"/>
          <w:bCs/>
          <w:szCs w:val="21"/>
          <w:highlight w:val="none"/>
        </w:rPr>
        <w:t xml:space="preserve">致苏美达国际技术贸易有限公司：</w:t>
      </w:r>
      <w:r>
        <w:rPr>
          <w:rFonts w:hint="eastAsia" w:ascii="宋体" w:hAnsi="宋体" w:cs="宋体"/>
          <w:bCs/>
          <w:szCs w:val="21"/>
          <w:highlight w:val="none"/>
        </w:rPr>
      </w:r>
      <w:r/>
    </w:p>
    <w:p>
      <w:pPr>
        <w:pStyle w:val="842"/>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我方收到贵方编号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招标文件，经仔细阅读和研究，我们决定参加此次项目的投标。</w:t>
      </w:r>
      <w:r>
        <w:rPr>
          <w:rFonts w:hint="eastAsia" w:ascii="宋体" w:hAnsi="宋体" w:cs="宋体"/>
          <w:bCs/>
          <w:szCs w:val="21"/>
          <w:highlight w:val="none"/>
        </w:rPr>
      </w:r>
      <w:r/>
    </w:p>
    <w:p>
      <w:pPr>
        <w:pStyle w:val="842"/>
        <w:ind w:firstLine="420"/>
        <w:spacing w:line="360" w:lineRule="auto"/>
        <w:tabs>
          <w:tab w:val="left" w:pos="420"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rPr>
          <w:rFonts w:hint="eastAsia" w:ascii="宋体" w:hAnsi="宋体" w:cs="宋体"/>
          <w:bCs/>
          <w:szCs w:val="21"/>
          <w:highlight w:val="none"/>
        </w:rPr>
      </w:r>
      <w:r/>
    </w:p>
    <w:p>
      <w:pPr>
        <w:pStyle w:val="842"/>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rPr>
          <w:rFonts w:hint="eastAsia" w:ascii="宋体" w:hAnsi="宋体" w:cs="宋体"/>
          <w:bCs/>
          <w:szCs w:val="21"/>
          <w:highlight w:val="none"/>
        </w:rPr>
      </w:r>
      <w:r/>
    </w:p>
    <w:p>
      <w:pPr>
        <w:pStyle w:val="842"/>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rPr>
          <w:rFonts w:hint="eastAsia" w:ascii="宋体" w:hAnsi="宋体" w:cs="宋体"/>
          <w:bCs/>
          <w:szCs w:val="21"/>
          <w:highlight w:val="none"/>
        </w:rPr>
      </w:r>
      <w:r/>
    </w:p>
    <w:p>
      <w:pPr>
        <w:pStyle w:val="842"/>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rPr>
          <w:rFonts w:hint="eastAsia" w:ascii="宋体" w:hAnsi="宋体" w:cs="宋体"/>
          <w:bCs/>
          <w:szCs w:val="21"/>
          <w:highlight w:val="none"/>
        </w:rPr>
      </w:r>
      <w:r/>
    </w:p>
    <w:p>
      <w:pPr>
        <w:pStyle w:val="842"/>
        <w:ind w:left="48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五、我方认为你们有权决定中标者。</w:t>
      </w:r>
      <w:r>
        <w:rPr>
          <w:rFonts w:hint="eastAsia" w:ascii="宋体" w:hAnsi="宋体" w:cs="宋体"/>
          <w:bCs/>
          <w:szCs w:val="21"/>
          <w:highlight w:val="none"/>
        </w:rPr>
      </w:r>
      <w:r/>
    </w:p>
    <w:p>
      <w:pPr>
        <w:pStyle w:val="842"/>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rPr>
          <w:rFonts w:hint="eastAsia" w:ascii="宋体" w:hAnsi="宋体" w:cs="宋体"/>
          <w:bCs/>
          <w:szCs w:val="21"/>
          <w:highlight w:val="none"/>
        </w:rPr>
      </w:r>
      <w:r/>
    </w:p>
    <w:p>
      <w:pPr>
        <w:pStyle w:val="842"/>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七、我方认可并遵守招标文件的所有规定，放弃对招标文件提出质疑的权利。</w:t>
      </w:r>
      <w:r>
        <w:rPr>
          <w:rFonts w:hint="eastAsia" w:ascii="宋体" w:hAnsi="宋体" w:cs="宋体"/>
          <w:bCs/>
          <w:szCs w:val="21"/>
          <w:highlight w:val="none"/>
        </w:rPr>
      </w:r>
      <w:r/>
    </w:p>
    <w:p>
      <w:pPr>
        <w:pStyle w:val="842"/>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szCs w:val="21"/>
          <w:highlight w:val="none"/>
        </w:rPr>
      </w:r>
      <w:r/>
    </w:p>
    <w:p>
      <w:pPr>
        <w:pStyle w:val="842"/>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投标人(盖章)：     </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电话：                              传真：</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通讯地址：                          邮编：</w:t>
      </w:r>
      <w:r>
        <w:rPr>
          <w:rFonts w:hint="eastAsia" w:ascii="宋体" w:hAnsi="宋体" w:cs="宋体"/>
          <w:bCs/>
          <w:szCs w:val="21"/>
          <w:highlight w:val="none"/>
        </w:rPr>
      </w:r>
      <w:r/>
    </w:p>
    <w:p>
      <w:pPr>
        <w:pStyle w:val="842"/>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1701" w:equalWidth="1"/>
          <w:docGrid w:linePitch="360"/>
        </w:sectPr>
        <w:outlineLvl w:val="9"/>
      </w:pPr>
      <w:r>
        <w:rPr>
          <w:rFonts w:eastAsia="黑体"/>
          <w:bCs/>
          <w:sz w:val="24"/>
          <w:szCs w:val="24"/>
          <w:highlight w:val="none"/>
        </w:rPr>
      </w:r>
      <w:r/>
    </w:p>
    <w:p>
      <w:pPr>
        <w:pStyle w:val="842"/>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）法定代表人授权委托书(格式)：</w:t>
      </w:r>
      <w:r>
        <w:rPr>
          <w:rFonts w:hint="eastAsia" w:ascii="宋体" w:hAnsi="宋体" w:cs="宋体"/>
          <w:b/>
          <w:sz w:val="24"/>
          <w:szCs w:val="24"/>
          <w:highlight w:val="none"/>
        </w:rPr>
      </w:r>
      <w:r/>
    </w:p>
    <w:p>
      <w:pPr>
        <w:pStyle w:val="842"/>
        <w:spacing w:line="360" w:lineRule="auto"/>
        <w:rPr>
          <w:rFonts w:eastAsia="黑体"/>
          <w:bCs/>
          <w:sz w:val="28"/>
          <w:szCs w:val="28"/>
          <w:highlight w:val="none"/>
        </w:rPr>
      </w:pPr>
      <w:r>
        <w:rPr>
          <w:rFonts w:eastAsia="黑体"/>
          <w:bCs/>
          <w:sz w:val="28"/>
          <w:szCs w:val="28"/>
          <w:highlight w:val="none"/>
        </w:rPr>
      </w:r>
      <w:r/>
    </w:p>
    <w:p>
      <w:pPr>
        <w:pStyle w:val="842"/>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法定代表人授权委托书</w:t>
      </w:r>
      <w:r>
        <w:rPr>
          <w:rFonts w:hint="eastAsia" w:ascii="宋体" w:hAnsi="宋体" w:cs="宋体"/>
          <w:b/>
          <w:sz w:val="36"/>
          <w:szCs w:val="28"/>
          <w:highlight w:val="none"/>
        </w:rPr>
      </w:r>
      <w:r/>
    </w:p>
    <w:p>
      <w:pPr>
        <w:pStyle w:val="842"/>
        <w:jc w:val="center"/>
        <w:spacing w:line="360" w:lineRule="auto"/>
        <w:rPr>
          <w:rFonts w:eastAsia="黑体"/>
          <w:bCs/>
          <w:sz w:val="28"/>
          <w:szCs w:val="28"/>
          <w:highlight w:val="none"/>
        </w:rPr>
        <w:outlineLvl w:val="9"/>
      </w:pPr>
      <w:r>
        <w:rPr>
          <w:rFonts w:eastAsia="黑体"/>
          <w:bCs/>
          <w:sz w:val="28"/>
          <w:szCs w:val="28"/>
          <w:highlight w:val="none"/>
        </w:rPr>
      </w:r>
      <w:r/>
    </w:p>
    <w:p>
      <w:pPr>
        <w:pStyle w:val="842"/>
        <w:spacing w:line="360" w:lineRule="auto"/>
        <w:rPr>
          <w:rFonts w:hint="eastAsia" w:ascii="宋体" w:hAnsi="宋体" w:cs="宋体"/>
          <w:bCs/>
          <w:szCs w:val="21"/>
          <w:highlight w:val="none"/>
        </w:rPr>
      </w:pPr>
      <w:r>
        <w:rPr>
          <w:rFonts w:eastAsia="楷体_GB2312"/>
          <w:bCs/>
          <w:sz w:val="30"/>
          <w:highlight w:val="none"/>
        </w:rPr>
        <w:t xml:space="preserve">  </w:t>
      </w:r>
      <w:r>
        <w:rPr>
          <w:rFonts w:eastAsia="楷体_GB2312"/>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Cs w:val="21"/>
          <w:highlight w:val="none"/>
        </w:rPr>
        <w:t xml:space="preserve">           招标编号：</w:t>
      </w:r>
      <w:r>
        <w:rPr>
          <w:rFonts w:hint="eastAsia" w:ascii="宋体" w:hAnsi="宋体" w:cs="宋体"/>
          <w:bCs/>
          <w:szCs w:val="21"/>
          <w:highlight w:val="none"/>
        </w:rPr>
      </w:r>
      <w:r/>
    </w:p>
    <w:p>
      <w:pPr>
        <w:pStyle w:val="842"/>
        <w:ind w:firstLine="4620"/>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rPr>
      </w:r>
      <w:r/>
    </w:p>
    <w:p>
      <w:pPr>
        <w:pStyle w:val="842"/>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42"/>
        <w:spacing w:line="360" w:lineRule="auto"/>
        <w:rPr>
          <w:rFonts w:hint="eastAsia" w:ascii="宋体" w:hAnsi="宋体" w:cs="宋体"/>
          <w:bCs/>
          <w:szCs w:val="21"/>
          <w:highlight w:val="none"/>
        </w:rPr>
      </w:pPr>
      <w:r>
        <w:rPr>
          <w:rFonts w:hint="eastAsia" w:ascii="宋体" w:hAnsi="宋体" w:cs="宋体"/>
          <w:bCs/>
          <w:szCs w:val="21"/>
          <w:highlight w:val="none"/>
        </w:rPr>
        <w:t xml:space="preserve">苏美达国际技术贸易有限公司：</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系中华人民共和国合法企业，特授权</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代表我公司(单位)全权办理针对本项目</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的投标、参与开标、评标、签约等具体工作，并签署全部有关的文件、协议及合同。</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我公司(单位)对被授权人的签名负全部责任。</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被授权人情况：</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姓名：         性别：             电话：</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投标人(盖章)：</w:t>
      </w:r>
      <w:r>
        <w:rPr>
          <w:rFonts w:hint="eastAsia" w:ascii="宋体" w:hAnsi="宋体" w:cs="宋体"/>
          <w:bCs/>
          <w:szCs w:val="21"/>
          <w:highlight w:val="none"/>
        </w:rPr>
      </w:r>
      <w:r/>
    </w:p>
    <w:p>
      <w:pPr>
        <w:pStyle w:val="842"/>
        <w:ind w:firstLine="357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42"/>
        <w:ind w:firstLine="357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rPr>
      </w:r>
      <w:r/>
    </w:p>
    <w:p>
      <w:pPr>
        <w:pStyle w:val="842"/>
        <w:ind w:firstLine="4080"/>
        <w:spacing w:line="360" w:lineRule="auto"/>
        <w:rPr>
          <w:bCs/>
          <w:sz w:val="24"/>
          <w:szCs w:val="24"/>
          <w:highlight w:val="none"/>
        </w:rPr>
      </w:pPr>
      <w:r>
        <w:rPr>
          <w:bCs/>
          <w:sz w:val="24"/>
          <w:szCs w:val="24"/>
          <w:highlight w:val="none"/>
        </w:rPr>
      </w:r>
      <w:r/>
    </w:p>
    <w:p>
      <w:pPr>
        <w:pStyle w:val="842"/>
        <w:ind w:firstLine="4080"/>
        <w:spacing w:line="360" w:lineRule="auto"/>
        <w:rPr>
          <w:bCs/>
          <w:sz w:val="24"/>
          <w:szCs w:val="24"/>
          <w:highlight w:val="none"/>
        </w:rPr>
      </w:pPr>
      <w:r>
        <w:rPr>
          <w:bCs/>
          <w:sz w:val="24"/>
          <w:szCs w:val="24"/>
          <w:highlight w:val="none"/>
        </w:rPr>
      </w:r>
      <w:r/>
    </w:p>
    <w:p>
      <w:pPr>
        <w:pStyle w:val="842"/>
        <w:ind w:firstLine="4080"/>
        <w:spacing w:line="360" w:lineRule="auto"/>
        <w:rPr>
          <w:bCs/>
          <w:sz w:val="24"/>
          <w:szCs w:val="24"/>
          <w:highlight w:val="none"/>
        </w:rPr>
      </w:pPr>
      <w:r>
        <w:rPr>
          <w:bCs/>
          <w:sz w:val="24"/>
          <w:szCs w:val="24"/>
          <w:highlight w:val="none"/>
        </w:rPr>
      </w:r>
      <w:r/>
    </w:p>
    <w:p>
      <w:pPr>
        <w:pStyle w:val="842"/>
        <w:ind w:firstLine="4080"/>
        <w:spacing w:line="360" w:lineRule="auto"/>
        <w:rPr>
          <w:bCs/>
          <w:sz w:val="24"/>
          <w:szCs w:val="24"/>
          <w:highlight w:val="none"/>
        </w:rPr>
      </w:pPr>
      <w:r>
        <w:rPr>
          <w:bCs/>
          <w:sz w:val="24"/>
          <w:szCs w:val="24"/>
          <w:highlight w:val="none"/>
        </w:rPr>
      </w:r>
      <w:r/>
    </w:p>
    <w:p>
      <w:pPr>
        <w:pStyle w:val="842"/>
        <w:ind w:firstLine="4080"/>
        <w:spacing w:line="360" w:lineRule="auto"/>
        <w:rPr>
          <w:bCs/>
          <w:sz w:val="24"/>
          <w:szCs w:val="24"/>
          <w:highlight w:val="none"/>
        </w:rPr>
      </w:pPr>
      <w:r>
        <w:rPr>
          <w:bCs/>
          <w:sz w:val="24"/>
          <w:szCs w:val="24"/>
          <w:highlight w:val="none"/>
        </w:rPr>
      </w:r>
      <w:r/>
    </w:p>
    <w:p>
      <w:pPr>
        <w:pStyle w:val="842"/>
        <w:spacing w:line="360" w:lineRule="auto"/>
        <w:rPr>
          <w:rFonts w:hint="eastAsia"/>
          <w:bCs/>
          <w:sz w:val="24"/>
          <w:szCs w:val="24"/>
          <w:highlight w:val="none"/>
        </w:rPr>
      </w:pPr>
      <w:r>
        <w:rPr>
          <w:rFonts w:hint="eastAsia"/>
          <w:bCs/>
          <w:sz w:val="24"/>
          <w:szCs w:val="24"/>
          <w:highlight w:val="none"/>
        </w:rPr>
      </w:r>
      <w:r/>
    </w:p>
    <w:p>
      <w:pPr>
        <w:pStyle w:val="842"/>
        <w:rPr>
          <w:rFonts w:hint="eastAsia"/>
          <w:bCs/>
          <w:sz w:val="24"/>
          <w:szCs w:val="24"/>
          <w:highlight w:val="none"/>
        </w:rPr>
      </w:pPr>
      <w:r>
        <w:rPr>
          <w:rFonts w:hint="eastAsia"/>
          <w:bCs/>
          <w:sz w:val="24"/>
          <w:szCs w:val="24"/>
          <w:highlight w:val="none"/>
        </w:rPr>
      </w:r>
      <w:r/>
    </w:p>
    <w:p>
      <w:pPr>
        <w:pStyle w:val="842"/>
        <w:rPr>
          <w:bCs/>
          <w:sz w:val="24"/>
          <w:szCs w:val="24"/>
          <w:highlight w:val="none"/>
        </w:rPr>
      </w:pPr>
      <w:r>
        <w:rPr>
          <w:bCs/>
          <w:sz w:val="24"/>
          <w:szCs w:val="24"/>
          <w:highlight w:val="none"/>
        </w:rPr>
      </w:r>
      <w:r/>
    </w:p>
    <w:p>
      <w:pPr>
        <w:pStyle w:val="842"/>
        <w:rPr>
          <w:bCs/>
          <w:sz w:val="24"/>
          <w:szCs w:val="24"/>
          <w:highlight w:val="none"/>
        </w:rPr>
      </w:pPr>
      <w:r>
        <w:rPr>
          <w:bCs/>
          <w:sz w:val="24"/>
          <w:szCs w:val="24"/>
          <w:highlight w:val="none"/>
        </w:rPr>
      </w:r>
      <w:r/>
    </w:p>
    <w:p>
      <w:pPr>
        <w:pStyle w:val="842"/>
        <w:spacing w:line="360" w:lineRule="auto"/>
        <w:rPr>
          <w:rFonts w:eastAsia="黑体"/>
          <w:bCs/>
          <w:sz w:val="24"/>
          <w:szCs w:val="24"/>
          <w:highlight w:val="none"/>
        </w:rPr>
        <w:outlineLvl w:val="9"/>
      </w:pPr>
      <w:r>
        <w:rPr>
          <w:rFonts w:eastAsia="黑体"/>
          <w:bCs/>
          <w:sz w:val="24"/>
          <w:szCs w:val="24"/>
          <w:highlight w:val="none"/>
        </w:rPr>
      </w:r>
      <w:r/>
    </w:p>
    <w:p>
      <w:pPr>
        <w:pStyle w:val="866"/>
        <w:rPr>
          <w:rFonts w:eastAsia="黑体"/>
          <w:sz w:val="24"/>
          <w:szCs w:val="24"/>
          <w:highlight w:val="none"/>
        </w:rPr>
      </w:pPr>
      <w:r>
        <w:rPr>
          <w:rFonts w:eastAsia="黑体"/>
          <w:sz w:val="24"/>
          <w:szCs w:val="24"/>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rFonts w:eastAsia="黑体"/>
          <w:bCs/>
          <w:sz w:val="24"/>
          <w:szCs w:val="24"/>
          <w:highlight w:val="none"/>
        </w:rPr>
      </w:pPr>
      <w:r>
        <w:rPr>
          <w:rFonts w:eastAsia="黑体"/>
          <w:bCs/>
          <w:sz w:val="24"/>
          <w:szCs w:val="24"/>
          <w:highlight w:val="none"/>
        </w:rPr>
      </w:r>
      <w:r/>
    </w:p>
    <w:p>
      <w:pPr>
        <w:pStyle w:val="842"/>
        <w:rPr>
          <w:rFonts w:hint="eastAsia"/>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rPr>
          <w:rFonts w:hint="eastAsia"/>
          <w:bCs/>
          <w:sz w:val="24"/>
          <w:szCs w:val="24"/>
          <w:highlight w:val="none"/>
        </w:rPr>
      </w:r>
      <w:r/>
    </w:p>
    <w:p>
      <w:pPr>
        <w:pStyle w:val="842"/>
        <w:rPr>
          <w:rFonts w:hint="eastAsia"/>
          <w:bCs/>
          <w:sz w:val="24"/>
          <w:szCs w:val="24"/>
          <w:highlight w:val="none"/>
        </w:rPr>
      </w:pPr>
      <w:r>
        <w:rPr>
          <w:rFonts w:hint="eastAsia"/>
          <w:bCs/>
          <w:sz w:val="24"/>
          <w:szCs w:val="24"/>
          <w:highlight w:val="none"/>
        </w:rPr>
      </w:r>
      <w:r/>
    </w:p>
    <w:p>
      <w:pPr>
        <w:pStyle w:val="842"/>
        <w:rPr>
          <w:rFonts w:hint="eastAsia"/>
          <w:bCs/>
          <w:sz w:val="24"/>
          <w:szCs w:val="24"/>
          <w:highlight w:val="none"/>
        </w:rPr>
      </w:pP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418080"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pStyle w:val="842"/>
                              <w:jc w:val="center"/>
                              <w:rPr>
                                <w:rFonts w:ascii="黑体" w:eastAsia="黑体"/>
                                <w:sz w:val="32"/>
                                <w:szCs w:val="32"/>
                              </w:rPr>
                            </w:pPr>
                            <w:r>
                              <w:rPr>
                                <w:rFonts w:ascii="黑体" w:eastAsia="黑体"/>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42"/>
                            </w:pPr>
                            <w:r/>
                            <w:r/>
                          </w:p>
                        </w:txbxContent>
                      </wps:txbx>
                      <wps:bodyPr wrap="square" upright="1"/>
                    </wps:wsp>
                  </a:graphicData>
                </a:graphic>
              </wp:inline>
            </w:drawing>
          </mc:Choice>
          <mc:Fallback>
            <w:pict>
              <v:shape id="shape 3" o:spid="_x0000_s3" o:spt="202" type="#_x0000_t202" style="width:190.4pt;height:124.8pt;mso-wrap-distance-left:0.0pt;mso-wrap-distance-top:0.0pt;mso-wrap-distance-right:0.0pt;mso-wrap-distance-bottom:0.0pt;visibility:visible;" fillcolor="#FFFFFF" strokecolor="#000000">
                <v:textbox inset="0,0,0,0">
                  <w:txbxContent>
                    <w:p>
                      <w:pPr>
                        <w:pStyle w:val="842"/>
                        <w:jc w:val="center"/>
                        <w:rPr>
                          <w:rFonts w:ascii="黑体" w:eastAsia="黑体"/>
                          <w:sz w:val="32"/>
                          <w:szCs w:val="32"/>
                        </w:rPr>
                      </w:pPr>
                      <w:r>
                        <w:rPr>
                          <w:rFonts w:ascii="黑体" w:eastAsia="黑体"/>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42"/>
                      </w:pPr>
                      <w:r/>
                      <w:r/>
                    </w:p>
                  </w:txbxContent>
                </v:textbox>
              </v:shape>
            </w:pict>
          </mc:Fallback>
        </mc:AlternateContent>
      </w:r>
      <w:r>
        <w:rPr>
          <w:bCs/>
          <w:sz w:val="24"/>
          <w:szCs w:val="24"/>
          <w:highlight w:val="none"/>
        </w:rPr>
        <w:fldChar w:fldCharType="end"/>
      </w:r>
      <w:r>
        <w:rPr>
          <w:rFonts w:hint="eastAsia" w:ascii="黑体" w:eastAsia="黑体"/>
          <w:sz w:val="32"/>
          <w:szCs w:val="32"/>
          <w:highlight w:val="none"/>
        </w:rPr>
        <w:t xml:space="preserve"> </w:t>
      </w:r>
      <w:r>
        <w:rPr>
          <w:rFonts w:hint="eastAsia" w:ascii="黑体" w:eastAsia="黑体"/>
          <w:sz w:val="32"/>
          <w:szCs w:val="32"/>
          <w:highlight w:val="none"/>
        </w:rPr>
        <w:fldChar w:fldCharType="begin"/>
      </w:r>
      <w:r>
        <w:rPr>
          <w:rFonts w:hint="eastAsia" w:ascii="黑体" w:eastAsia="黑体"/>
          <w:sz w:val="32"/>
          <w:szCs w:val="32"/>
          <w:highlight w:val="none"/>
        </w:rPr>
        <w:instrText xml:space="preserve"> SHAPE  \* MERGEFORMAT </w:instrText>
      </w:r>
      <w:r>
        <w:rPr>
          <w:rFonts w:hint="eastAsia" w:ascii="黑体" w:eastAsia="黑体"/>
          <w:sz w:val="32"/>
          <w:szCs w:val="32"/>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395855" cy="1584960"/>
                <wp:effectExtent l="0" t="0" r="0" b="0"/>
                <wp:docPr id="5" name=""/>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pStyle w:val="842"/>
                              <w:jc w:val="center"/>
                              <w:rPr>
                                <w:rFonts w:ascii="黑体" w:eastAsia="黑体"/>
                                <w:sz w:val="32"/>
                                <w:szCs w:val="32"/>
                              </w:rPr>
                            </w:pPr>
                            <w:r>
                              <w:rPr>
                                <w:rFonts w:ascii="黑体" w:eastAsia="黑体"/>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42"/>
                            </w:pPr>
                            <w:r/>
                            <w:r/>
                          </w:p>
                        </w:txbxContent>
                      </wps:txbx>
                      <wps:bodyPr wrap="square" upright="1"/>
                    </wps:wsp>
                  </a:graphicData>
                </a:graphic>
              </wp:inline>
            </w:drawing>
          </mc:Choice>
          <mc:Fallback>
            <w:pict>
              <v:shape id="shape 4" o:spid="_x0000_s4" o:spt="202" type="#_x0000_t202" style="width:188.6pt;height:124.8pt;mso-wrap-distance-left:0.0pt;mso-wrap-distance-top:0.0pt;mso-wrap-distance-right:0.0pt;mso-wrap-distance-bottom:0.0pt;visibility:visible;" fillcolor="#FFFFFF" strokecolor="#000000">
                <v:textbox inset="0,0,0,0">
                  <w:txbxContent>
                    <w:p>
                      <w:pPr>
                        <w:pStyle w:val="842"/>
                        <w:jc w:val="center"/>
                        <w:rPr>
                          <w:rFonts w:ascii="黑体" w:eastAsia="黑体"/>
                          <w:sz w:val="32"/>
                          <w:szCs w:val="32"/>
                        </w:rPr>
                      </w:pPr>
                      <w:r>
                        <w:rPr>
                          <w:rFonts w:ascii="黑体" w:eastAsia="黑体"/>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42"/>
                      </w:pPr>
                      <w:r/>
                      <w:r/>
                    </w:p>
                  </w:txbxContent>
                </v:textbox>
              </v:shape>
            </w:pict>
          </mc:Fallback>
        </mc:AlternateContent>
      </w:r>
      <w:r>
        <w:rPr>
          <w:rFonts w:hint="eastAsia" w:ascii="黑体" w:eastAsia="黑体"/>
          <w:sz w:val="32"/>
          <w:szCs w:val="32"/>
          <w:highlight w:val="none"/>
        </w:rPr>
        <w:fldChar w:fldCharType="end"/>
      </w:r>
      <w:r>
        <w:rPr>
          <w:rFonts w:hint="eastAsia"/>
          <w:bCs/>
          <w:sz w:val="24"/>
          <w:szCs w:val="24"/>
          <w:highlight w:val="none"/>
        </w:rPr>
        <w:t xml:space="preserve">       </w:t>
      </w:r>
      <w:r>
        <w:rPr>
          <w:rFonts w:hint="eastAsia"/>
          <w:bCs/>
          <w:sz w:val="24"/>
          <w:szCs w:val="24"/>
          <w:highlight w:val="none"/>
        </w:rPr>
      </w:r>
      <w:r/>
    </w:p>
    <w:p>
      <w:pPr>
        <w:pStyle w:val="842"/>
        <w:rPr>
          <w:rFonts w:hint="eastAsia"/>
          <w:bCs/>
          <w:sz w:val="24"/>
          <w:szCs w:val="24"/>
          <w:highlight w:val="none"/>
        </w:rPr>
      </w:pPr>
      <w:r>
        <w:rPr>
          <w:rFonts w:hint="eastAsia"/>
          <w:bCs/>
          <w:sz w:val="24"/>
          <w:szCs w:val="24"/>
          <w:highlight w:val="none"/>
        </w:rPr>
      </w:r>
      <w:r/>
    </w:p>
    <w:p>
      <w:pPr>
        <w:pStyle w:val="842"/>
        <w:rPr>
          <w:rFonts w:hint="eastAsia"/>
          <w:bCs/>
          <w:sz w:val="24"/>
          <w:szCs w:val="24"/>
          <w:highlight w:val="none"/>
        </w:rPr>
      </w:pPr>
      <w:r>
        <w:rPr>
          <w:rFonts w:hint="eastAsia"/>
          <w:bCs/>
          <w:sz w:val="24"/>
          <w:szCs w:val="24"/>
          <w:highlight w:val="none"/>
        </w:rPr>
      </w:r>
      <w:r/>
    </w:p>
    <w:p>
      <w:pPr>
        <w:pStyle w:val="842"/>
        <w:rPr>
          <w:rFonts w:hint="eastAsia"/>
          <w:bCs/>
          <w:sz w:val="24"/>
          <w:szCs w:val="24"/>
          <w:highlight w:val="none"/>
        </w:rPr>
      </w:pPr>
      <w:r>
        <w:rPr>
          <w:rFonts w:hint="eastAsia"/>
          <w:bCs/>
          <w:sz w:val="24"/>
          <w:szCs w:val="24"/>
          <w:highlight w:val="none"/>
        </w:rPr>
      </w:r>
      <w:r/>
    </w:p>
    <w:p>
      <w:pPr>
        <w:pStyle w:val="842"/>
        <w:rPr>
          <w:rFonts w:hint="eastAsia"/>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rPr>
          <w:rFonts w:hint="eastAsia"/>
          <w:bCs/>
          <w:sz w:val="24"/>
          <w:szCs w:val="24"/>
          <w:highlight w:val="none"/>
        </w:rPr>
      </w:r>
      <w:r/>
    </w:p>
    <w:p>
      <w:pPr>
        <w:pStyle w:val="866"/>
        <w:rPr>
          <w:highlight w:val="none"/>
        </w:rPr>
      </w:pPr>
      <w:r>
        <w:rPr>
          <w:sz w:val="24"/>
          <w:szCs w:val="24"/>
          <w:highlight w:val="none"/>
        </w:rPr>
        <w:fldChar w:fldCharType="begin"/>
      </w:r>
      <w:r>
        <w:rPr>
          <w:sz w:val="24"/>
          <w:szCs w:val="24"/>
          <w:highlight w:val="none"/>
        </w:rPr>
        <w:instrText xml:space="preserve"> SHAPE  \* MERGEFORMAT </w:instrText>
      </w:r>
      <w:r>
        <w:rPr>
          <w:sz w:val="24"/>
          <w:szCs w:val="24"/>
          <w:highlight w:val="none"/>
        </w:rPr>
        <w:fldChar w:fldCharType="separate"/>
      </w:r>
      <w:r>
        <w:rPr>
          <w:sz w:val="24"/>
          <w:szCs w:val="24"/>
          <w:highlight w:val="none"/>
        </w:rPr>
        <mc:AlternateContent>
          <mc:Choice Requires="wpg">
            <w:drawing>
              <wp:inline xmlns:wp="http://schemas.openxmlformats.org/drawingml/2006/wordprocessingDrawing" distT="0" distB="0" distL="0" distR="0">
                <wp:extent cx="2414270"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pStyle w:val="842"/>
                              <w:jc w:val="center"/>
                              <w:rPr>
                                <w:rFonts w:ascii="黑体" w:eastAsia="黑体"/>
                                <w:sz w:val="32"/>
                                <w:szCs w:val="32"/>
                              </w:rPr>
                            </w:pPr>
                            <w:r>
                              <w:rPr>
                                <w:rFonts w:ascii="黑体" w:eastAsia="黑体"/>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42"/>
                            </w:pPr>
                            <w:r/>
                            <w:r/>
                          </w:p>
                        </w:txbxContent>
                      </wps:txbx>
                      <wps:bodyPr wrap="square" upright="1"/>
                    </wps:wsp>
                  </a:graphicData>
                </a:graphic>
              </wp:inline>
            </w:drawing>
          </mc:Choice>
          <mc:Fallback>
            <w:pict>
              <v:shape id="shape 5" o:spid="_x0000_s5" o:spt="202" type="#_x0000_t202" style="width:190.1pt;height:124.8pt;mso-wrap-distance-left:0.0pt;mso-wrap-distance-top:0.0pt;mso-wrap-distance-right:0.0pt;mso-wrap-distance-bottom:0.0pt;visibility:visible;" fillcolor="#FFFFFF" strokecolor="#000000">
                <v:textbox inset="0,0,0,0">
                  <w:txbxContent>
                    <w:p>
                      <w:pPr>
                        <w:pStyle w:val="842"/>
                        <w:jc w:val="center"/>
                        <w:rPr>
                          <w:rFonts w:ascii="黑体" w:eastAsia="黑体"/>
                          <w:sz w:val="32"/>
                          <w:szCs w:val="32"/>
                        </w:rPr>
                      </w:pPr>
                      <w:r>
                        <w:rPr>
                          <w:rFonts w:ascii="黑体" w:eastAsia="黑体"/>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42"/>
                      </w:pPr>
                      <w:r/>
                      <w:r/>
                    </w:p>
                  </w:txbxContent>
                </v:textbox>
              </v:shape>
            </w:pict>
          </mc:Fallback>
        </mc:AlternateContent>
      </w:r>
      <w:r>
        <w:rPr>
          <w:sz w:val="24"/>
          <w:szCs w:val="24"/>
          <w:highlight w:val="none"/>
        </w:rPr>
        <w:fldChar w:fldCharType="end"/>
      </w:r>
      <w:r>
        <w:rPr>
          <w:rFonts w:hint="eastAsia"/>
          <w:sz w:val="24"/>
          <w:szCs w:val="24"/>
          <w:highlight w:val="none"/>
        </w:rPr>
        <w:t xml:space="preserve"> </w:t>
      </w:r>
      <w:r>
        <w:rPr>
          <w:rFonts w:hint="eastAsia"/>
          <w:sz w:val="24"/>
          <w:szCs w:val="24"/>
          <w:highlight w:val="none"/>
        </w:rPr>
        <w:fldChar w:fldCharType="begin"/>
      </w:r>
      <w:r>
        <w:rPr>
          <w:rFonts w:hint="eastAsia"/>
          <w:sz w:val="24"/>
          <w:szCs w:val="24"/>
          <w:highlight w:val="none"/>
        </w:rPr>
        <w:instrText xml:space="preserve"> SHAPE  \* MERGEFORMAT </w:instrText>
      </w:r>
      <w:r>
        <w:rPr>
          <w:rFonts w:hint="eastAsia"/>
          <w:sz w:val="24"/>
          <w:szCs w:val="24"/>
          <w:highlight w:val="none"/>
        </w:rPr>
        <w:fldChar w:fldCharType="separate"/>
      </w:r>
      <w:r>
        <w:rPr>
          <w:sz w:val="24"/>
          <w:szCs w:val="24"/>
          <w:highlight w:val="none"/>
        </w:rPr>
        <mc:AlternateContent>
          <mc:Choice Requires="wpg">
            <w:drawing>
              <wp:inline xmlns:wp="http://schemas.openxmlformats.org/drawingml/2006/wordprocessingDrawing" distT="0" distB="0" distL="0" distR="0">
                <wp:extent cx="2397125"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wps:spPr>
                      <wps:txbx>
                        <w:txbxContent>
                          <w:p>
                            <w:pPr>
                              <w:pStyle w:val="842"/>
                              <w:jc w:val="center"/>
                              <w:rPr>
                                <w:rFonts w:ascii="黑体" w:eastAsia="黑体"/>
                                <w:sz w:val="32"/>
                                <w:szCs w:val="32"/>
                              </w:rPr>
                            </w:pPr>
                            <w:r>
                              <w:rPr>
                                <w:rFonts w:ascii="黑体" w:eastAsia="黑体"/>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42"/>
                            </w:pPr>
                            <w:r/>
                            <w:r/>
                          </w:p>
                        </w:txbxContent>
                      </wps:txbx>
                      <wps:bodyPr wrap="square" upright="1"/>
                    </wps:wsp>
                  </a:graphicData>
                </a:graphic>
              </wp:inline>
            </w:drawing>
          </mc:Choice>
          <mc:Fallback>
            <w:pict>
              <v:shape id="shape 6" o:spid="_x0000_s6" o:spt="202" type="#_x0000_t202" style="width:188.8pt;height:124.8pt;mso-wrap-distance-left:0.0pt;mso-wrap-distance-top:0.0pt;mso-wrap-distance-right:0.0pt;mso-wrap-distance-bottom:0.0pt;visibility:visible;" fillcolor="#FFFFFF" strokecolor="#000000">
                <v:textbox inset="0,0,0,0">
                  <w:txbxContent>
                    <w:p>
                      <w:pPr>
                        <w:pStyle w:val="842"/>
                        <w:jc w:val="center"/>
                        <w:rPr>
                          <w:rFonts w:ascii="黑体" w:eastAsia="黑体"/>
                          <w:sz w:val="32"/>
                          <w:szCs w:val="32"/>
                        </w:rPr>
                      </w:pPr>
                      <w:r>
                        <w:rPr>
                          <w:rFonts w:ascii="黑体" w:eastAsia="黑体"/>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842"/>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42"/>
                      </w:pPr>
                      <w:r/>
                      <w:r/>
                    </w:p>
                  </w:txbxContent>
                </v:textbox>
              </v:shape>
            </w:pict>
          </mc:Fallback>
        </mc:AlternateContent>
      </w:r>
      <w:r>
        <w:rPr>
          <w:rFonts w:hint="eastAsia"/>
          <w:sz w:val="24"/>
          <w:szCs w:val="24"/>
          <w:highlight w:val="none"/>
        </w:rPr>
        <w:fldChar w:fldCharType="end"/>
      </w:r>
      <w:r>
        <w:rPr>
          <w:highlight w:val="none"/>
        </w:rPr>
      </w:r>
      <w:r/>
    </w:p>
    <w:p>
      <w:pPr>
        <w:pStyle w:val="842"/>
        <w:spacing w:line="360" w:lineRule="auto"/>
        <w:rPr>
          <w:rFonts w:eastAsia="黑体"/>
          <w:bCs/>
          <w:sz w:val="24"/>
          <w:szCs w:val="24"/>
          <w:highlight w:val="none"/>
        </w:rPr>
        <w:outlineLvl w:val="9"/>
      </w:pPr>
      <w:r>
        <w:rPr>
          <w:rFonts w:eastAsia="黑体"/>
          <w:bCs/>
          <w:sz w:val="24"/>
          <w:szCs w:val="24"/>
          <w:highlight w:val="none"/>
        </w:rPr>
      </w:r>
      <w:r/>
    </w:p>
    <w:p>
      <w:pPr>
        <w:pStyle w:val="842"/>
        <w:spacing w:line="360" w:lineRule="auto"/>
        <w:rPr>
          <w:rFonts w:eastAsia="黑体"/>
          <w:bCs/>
          <w:sz w:val="24"/>
          <w:szCs w:val="24"/>
          <w:highlight w:val="none"/>
        </w:rPr>
        <w:outlineLvl w:val="9"/>
      </w:pPr>
      <w:r>
        <w:rPr>
          <w:rFonts w:eastAsia="黑体"/>
          <w:bCs/>
          <w:sz w:val="24"/>
          <w:szCs w:val="24"/>
          <w:highlight w:val="none"/>
        </w:rPr>
      </w:r>
      <w:r/>
    </w:p>
    <w:p>
      <w:pPr>
        <w:pStyle w:val="842"/>
        <w:spacing w:line="360" w:lineRule="auto"/>
        <w:rPr>
          <w:rFonts w:ascii="宋体"/>
          <w:sz w:val="24"/>
          <w:highlight w:val="none"/>
        </w:rPr>
      </w:pPr>
      <w:r>
        <w:rPr>
          <w:rFonts w:ascii="宋体"/>
          <w:sz w:val="24"/>
          <w:highlight w:val="none"/>
        </w:rPr>
      </w:r>
      <w:r/>
    </w:p>
    <w:p>
      <w:pPr>
        <w:pStyle w:val="842"/>
        <w:spacing w:line="360" w:lineRule="auto"/>
        <w:rPr>
          <w:rFonts w:eastAsia="黑体"/>
          <w:bCs/>
          <w:sz w:val="24"/>
          <w:szCs w:val="24"/>
          <w:highlight w:val="none"/>
        </w:rPr>
        <w:outlineLvl w:val="9"/>
      </w:pPr>
      <w:r>
        <w:rPr>
          <w:rFonts w:eastAsia="黑体"/>
          <w:bCs/>
          <w:sz w:val="24"/>
          <w:szCs w:val="24"/>
          <w:highlight w:val="none"/>
        </w:rPr>
      </w:r>
      <w:r/>
    </w:p>
    <w:p>
      <w:pPr>
        <w:pStyle w:val="842"/>
        <w:numPr>
          <w:ilvl w:val="0"/>
          <w:numId w:val="6"/>
        </w:numPr>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开标一览表：</w:t>
      </w:r>
      <w:r>
        <w:rPr>
          <w:rFonts w:hint="eastAsia" w:ascii="宋体" w:hAnsi="宋体" w:cs="宋体"/>
          <w:b/>
          <w:sz w:val="24"/>
          <w:szCs w:val="24"/>
          <w:highlight w:val="none"/>
        </w:rPr>
      </w:r>
      <w:r/>
    </w:p>
    <w:p>
      <w:pPr>
        <w:pStyle w:val="842"/>
        <w:ind w:firstLine="562"/>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842"/>
        <w:jc w:val="left"/>
        <w:spacing w:line="440" w:lineRule="exact"/>
        <w:rPr>
          <w:b/>
          <w:color w:val="000000"/>
          <w:sz w:val="28"/>
          <w:szCs w:val="22"/>
          <w:highlight w:val="none"/>
        </w:rPr>
      </w:pPr>
      <w:r>
        <w:rPr>
          <w:color w:val="000000"/>
          <w:szCs w:val="21"/>
          <w:highlight w:val="none"/>
        </w:rPr>
        <w:t xml:space="preserve">项目编号：               分包号（如有）：</w:t>
      </w:r>
      <w:r>
        <w:rPr>
          <w:b/>
          <w:color w:val="000000"/>
          <w:sz w:val="28"/>
          <w:szCs w:val="22"/>
          <w:highlight w:val="none"/>
        </w:rPr>
      </w:r>
      <w:r/>
    </w:p>
    <w:p>
      <w:pPr>
        <w:pStyle w:val="890"/>
        <w:numPr>
          <w:ilvl w:val="0"/>
          <w:numId w:val="0"/>
        </w:numPr>
        <w:rPr>
          <w:rFonts w:hint="eastAsia"/>
          <w:highlight w:val="none"/>
        </w:rPr>
      </w:pPr>
      <w:r>
        <w:rPr>
          <w:rFonts w:hint="eastAsia"/>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52"/>
        <w:gridCol w:w="6267"/>
      </w:tblGrid>
      <w:tr>
        <w:trPr>
          <w:cantSplit/>
          <w:trHeight w:val="560"/>
        </w:trPr>
        <w:tc>
          <w:tcPr>
            <w:tcW w:w="1322" w:type="dxa"/>
            <w:vAlign w:val="center"/>
            <w:textDirection w:val="lrTb"/>
            <w:noWrap w:val="false"/>
          </w:tcPr>
          <w:p>
            <w:pPr>
              <w:pStyle w:val="842"/>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3677" w:type="dxa"/>
            <w:vAlign w:val="center"/>
            <w:textDirection w:val="lrTb"/>
            <w:noWrap w:val="false"/>
          </w:tcPr>
          <w:p>
            <w:pPr>
              <w:pStyle w:val="842"/>
              <w:ind w:firstLine="105"/>
              <w:spacing w:line="480" w:lineRule="exact"/>
              <w:rPr>
                <w:color w:val="000000"/>
                <w:szCs w:val="21"/>
                <w:highlight w:val="none"/>
              </w:rPr>
            </w:pPr>
            <w:r>
              <w:rPr>
                <w:color w:val="000000"/>
                <w:szCs w:val="21"/>
                <w:highlight w:val="none"/>
              </w:rPr>
            </w:r>
            <w:r/>
          </w:p>
        </w:tc>
      </w:tr>
      <w:tr>
        <w:trPr>
          <w:cantSplit/>
          <w:trHeight w:val="1280"/>
        </w:trPr>
        <w:tc>
          <w:tcPr>
            <w:tcW w:w="1322" w:type="dxa"/>
            <w:vAlign w:val="center"/>
            <w:textDirection w:val="lrTb"/>
            <w:noWrap w:val="false"/>
          </w:tcPr>
          <w:p>
            <w:pPr>
              <w:pStyle w:val="842"/>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3677" w:type="dxa"/>
            <w:vAlign w:val="center"/>
            <w:textDirection w:val="lrTb"/>
            <w:noWrap w:val="false"/>
          </w:tcPr>
          <w:p>
            <w:pPr>
              <w:pStyle w:val="842"/>
              <w:spacing w:line="480" w:lineRule="exact"/>
              <w:rPr>
                <w:color w:val="000000"/>
                <w:szCs w:val="21"/>
                <w:highlight w:val="none"/>
                <w:u w:val="singl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r>
            <w:r/>
          </w:p>
          <w:p>
            <w:pPr>
              <w:pStyle w:val="842"/>
              <w:spacing w:line="480" w:lineRule="exact"/>
              <w:rPr>
                <w:color w:val="000000"/>
                <w:szCs w:val="21"/>
                <w:highlight w:val="none"/>
              </w:rPr>
            </w:pPr>
            <w:r>
              <w:rPr>
                <w:color w:val="000000"/>
                <w:szCs w:val="21"/>
                <w:highlight w:val="none"/>
              </w:rPr>
              <w:t xml:space="preserve">（大写）：</w:t>
            </w:r>
            <w:r>
              <w:rPr>
                <w:color w:val="000000"/>
                <w:szCs w:val="21"/>
                <w:highlight w:val="none"/>
                <w:u w:val="single"/>
              </w:rPr>
              <w:t xml:space="preserve">         </w:t>
            </w:r>
            <w:r>
              <w:rPr>
                <w:color w:val="000000"/>
                <w:szCs w:val="21"/>
                <w:highlight w:val="none"/>
              </w:rPr>
              <w:t xml:space="preserve">（小写）：</w:t>
            </w:r>
            <w:r>
              <w:rPr>
                <w:color w:val="000000"/>
                <w:szCs w:val="21"/>
                <w:highlight w:val="none"/>
                <w:u w:val="single"/>
              </w:rPr>
              <w:t xml:space="preserve">      </w:t>
            </w:r>
            <w:r>
              <w:rPr>
                <w:color w:val="000000"/>
                <w:szCs w:val="21"/>
                <w:highlight w:val="none"/>
              </w:rPr>
            </w:r>
            <w:r/>
          </w:p>
        </w:tc>
      </w:tr>
      <w:tr>
        <w:trPr>
          <w:cantSplit/>
          <w:trHeight w:val="615"/>
        </w:trPr>
        <w:tc>
          <w:tcPr>
            <w:tcW w:w="1322" w:type="dxa"/>
            <w:vAlign w:val="center"/>
            <w:textDirection w:val="lrTb"/>
            <w:noWrap w:val="false"/>
          </w:tcPr>
          <w:p>
            <w:pPr>
              <w:pStyle w:val="842"/>
              <w:jc w:val="center"/>
              <w:spacing w:line="480" w:lineRule="exact"/>
              <w:rPr>
                <w:color w:val="000000"/>
                <w:szCs w:val="21"/>
                <w:highlight w:val="none"/>
              </w:rPr>
            </w:pPr>
            <w:r>
              <w:rPr>
                <w:color w:val="000000"/>
                <w:szCs w:val="21"/>
                <w:highlight w:val="none"/>
              </w:rPr>
              <w:t xml:space="preserve">所投品牌</w:t>
            </w:r>
            <w:r>
              <w:rPr>
                <w:color w:val="000000"/>
                <w:szCs w:val="21"/>
                <w:highlight w:val="none"/>
              </w:rPr>
            </w:r>
            <w:r/>
          </w:p>
          <w:p>
            <w:pPr>
              <w:pStyle w:val="842"/>
              <w:spacing w:line="480" w:lineRule="exact"/>
              <w:rPr>
                <w:color w:val="000000"/>
                <w:szCs w:val="21"/>
                <w:highlight w:val="none"/>
              </w:rPr>
            </w:pPr>
            <w:r>
              <w:rPr>
                <w:b/>
                <w:bCs/>
                <w:color w:val="000000"/>
                <w:szCs w:val="21"/>
                <w:highlight w:val="none"/>
              </w:rPr>
              <w:t xml:space="preserve">（如非单一产品则填写核心产品品牌）</w:t>
            </w:r>
            <w:r>
              <w:rPr>
                <w:color w:val="000000"/>
                <w:szCs w:val="21"/>
                <w:highlight w:val="none"/>
              </w:rPr>
            </w:r>
            <w:r/>
          </w:p>
        </w:tc>
        <w:tc>
          <w:tcPr>
            <w:tcW w:w="3677" w:type="dxa"/>
            <w:vAlign w:val="center"/>
            <w:textDirection w:val="lrTb"/>
            <w:noWrap w:val="false"/>
          </w:tcPr>
          <w:p>
            <w:pPr>
              <w:pStyle w:val="842"/>
              <w:spacing w:line="480" w:lineRule="exact"/>
              <w:rPr>
                <w:color w:val="000000"/>
                <w:szCs w:val="21"/>
                <w:highlight w:val="none"/>
              </w:rPr>
            </w:pPr>
            <w:r>
              <w:rPr>
                <w:color w:val="000000"/>
                <w:szCs w:val="21"/>
                <w:highlight w:val="none"/>
              </w:rPr>
            </w:r>
            <w:r/>
          </w:p>
        </w:tc>
      </w:tr>
      <w:tr>
        <w:trPr>
          <w:cantSplit/>
          <w:trHeight w:val="389"/>
        </w:trPr>
        <w:tc>
          <w:tcPr>
            <w:tcW w:w="1322" w:type="dxa"/>
            <w:vAlign w:val="center"/>
            <w:textDirection w:val="lrTb"/>
            <w:noWrap w:val="false"/>
          </w:tcPr>
          <w:p>
            <w:pPr>
              <w:pStyle w:val="842"/>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3677" w:type="dxa"/>
            <w:vAlign w:val="center"/>
            <w:textDirection w:val="lrTb"/>
            <w:noWrap w:val="false"/>
          </w:tcPr>
          <w:p>
            <w:pPr>
              <w:pStyle w:val="842"/>
              <w:ind w:firstLine="105"/>
              <w:spacing w:line="480" w:lineRule="exact"/>
              <w:rPr>
                <w:color w:val="000000"/>
                <w:szCs w:val="21"/>
                <w:highlight w:val="none"/>
              </w:rPr>
            </w:pPr>
            <w:r>
              <w:rPr>
                <w:color w:val="000000"/>
                <w:szCs w:val="21"/>
                <w:highlight w:val="none"/>
              </w:rPr>
            </w:r>
            <w:r/>
          </w:p>
        </w:tc>
      </w:tr>
      <w:tr>
        <w:trPr>
          <w:cantSplit/>
          <w:trHeight w:val="389"/>
        </w:trPr>
        <w:tc>
          <w:tcPr>
            <w:tcW w:w="1322" w:type="dxa"/>
            <w:vAlign w:val="top"/>
            <w:textDirection w:val="lrTb"/>
            <w:noWrap w:val="false"/>
          </w:tcPr>
          <w:p>
            <w:pPr>
              <w:pStyle w:val="842"/>
              <w:jc w:val="center"/>
              <w:spacing w:line="480" w:lineRule="exact"/>
              <w:rPr>
                <w:color w:val="000000"/>
                <w:highlight w:val="none"/>
              </w:rPr>
            </w:pPr>
            <w:r>
              <w:rPr>
                <w:color w:val="000000"/>
                <w:highlight w:val="none"/>
              </w:rPr>
              <w:t xml:space="preserve">是否属于小微型企业</w:t>
            </w:r>
            <w:r>
              <w:rPr>
                <w:color w:val="000000"/>
                <w:highlight w:val="none"/>
              </w:rPr>
            </w:r>
            <w:r/>
          </w:p>
        </w:tc>
        <w:tc>
          <w:tcPr>
            <w:tcW w:w="3677" w:type="dxa"/>
            <w:vAlign w:val="top"/>
            <w:textDirection w:val="lrTb"/>
            <w:noWrap w:val="false"/>
          </w:tcPr>
          <w:p>
            <w:pPr>
              <w:pStyle w:val="863"/>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rPr>
                <w:color w:val="000000"/>
                <w:szCs w:val="21"/>
                <w:highlight w:val="none"/>
              </w:rPr>
            </w:r>
            <w:r/>
          </w:p>
        </w:tc>
      </w:tr>
      <w:tr>
        <w:trPr>
          <w:cantSplit/>
          <w:trHeight w:val="389"/>
        </w:trPr>
        <w:tc>
          <w:tcPr>
            <w:gridSpan w:val="2"/>
            <w:tcW w:w="8519" w:type="dxa"/>
            <w:vAlign w:val="top"/>
            <w:textDirection w:val="lrTb"/>
            <w:noWrap w:val="false"/>
          </w:tcPr>
          <w:p>
            <w:pPr>
              <w:pStyle w:val="842"/>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890"/>
        <w:numPr>
          <w:ilvl w:val="0"/>
          <w:numId w:val="0"/>
        </w:numPr>
        <w:rPr>
          <w:rFonts w:hint="eastAsia"/>
          <w:highlight w:val="none"/>
        </w:rPr>
      </w:pPr>
      <w:r>
        <w:rPr>
          <w:rFonts w:hint="eastAsia"/>
          <w:highlight w:val="none"/>
        </w:rPr>
      </w:r>
      <w:r/>
    </w:p>
    <w:p>
      <w:pPr>
        <w:pStyle w:val="842"/>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890"/>
        <w:numPr>
          <w:ilvl w:val="0"/>
          <w:numId w:val="0"/>
        </w:numPr>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日期：</w:t>
      </w:r>
      <w:r>
        <w:rPr>
          <w:rFonts w:hint="eastAsia" w:ascii="Times New Roman" w:hAnsi="Times New Roman" w:eastAsia="宋体" w:cs="Times New Roman"/>
          <w:color w:val="000000"/>
          <w:sz w:val="21"/>
          <w:szCs w:val="21"/>
          <w:highlight w:val="none"/>
          <w:lang w:val="en-US" w:eastAsia="zh-CN" w:bidi="ar-SA"/>
        </w:rPr>
      </w:r>
      <w:r/>
    </w:p>
    <w:p>
      <w:pPr>
        <w:pStyle w:val="842"/>
        <w:rPr>
          <w:rFonts w:eastAsia="黑体"/>
          <w:bCs/>
          <w:sz w:val="28"/>
          <w:szCs w:val="28"/>
          <w:highlight w:val="none"/>
        </w:rPr>
        <w:outlineLvl w:val="9"/>
      </w:pPr>
      <w:r>
        <w:rPr>
          <w:rFonts w:eastAsia="黑体"/>
          <w:bCs/>
          <w:sz w:val="28"/>
          <w:szCs w:val="28"/>
          <w:highlight w:val="none"/>
        </w:rPr>
      </w:r>
      <w:r/>
    </w:p>
    <w:p>
      <w:pPr>
        <w:pStyle w:val="842"/>
        <w:rPr>
          <w:highlight w:val="none"/>
        </w:rPr>
      </w:pPr>
      <w:r>
        <w:rPr>
          <w:highlight w:val="none"/>
        </w:rPr>
      </w:r>
      <w:r/>
    </w:p>
    <w:p>
      <w:pPr>
        <w:pStyle w:val="868"/>
        <w:ind w:left="1260"/>
        <w:rPr>
          <w:highlight w:val="none"/>
        </w:rPr>
      </w:pPr>
      <w:r>
        <w:rPr>
          <w:highlight w:val="none"/>
        </w:rPr>
      </w:r>
      <w:r/>
    </w:p>
    <w:p>
      <w:pPr>
        <w:pStyle w:val="842"/>
        <w:rPr>
          <w:highlight w:val="none"/>
        </w:rPr>
      </w:pPr>
      <w:r>
        <w:rPr>
          <w:highlight w:val="none"/>
        </w:rPr>
      </w:r>
      <w:r/>
    </w:p>
    <w:p>
      <w:pPr>
        <w:pStyle w:val="868"/>
        <w:ind w:left="1260"/>
        <w:rPr>
          <w:highlight w:val="none"/>
        </w:rPr>
      </w:pPr>
      <w:r>
        <w:rPr>
          <w:highlight w:val="none"/>
        </w:rPr>
      </w:r>
      <w:r/>
    </w:p>
    <w:p>
      <w:pPr>
        <w:pStyle w:val="842"/>
        <w:rPr>
          <w:highlight w:val="none"/>
        </w:rPr>
      </w:pPr>
      <w:r>
        <w:rPr>
          <w:highlight w:val="none"/>
        </w:rPr>
      </w:r>
      <w:r/>
    </w:p>
    <w:p>
      <w:pPr>
        <w:pStyle w:val="868"/>
        <w:ind w:left="1260"/>
        <w:rPr>
          <w:highlight w:val="none"/>
        </w:rPr>
      </w:pPr>
      <w:r>
        <w:rPr>
          <w:highlight w:val="none"/>
        </w:rPr>
      </w:r>
      <w:r/>
    </w:p>
    <w:p>
      <w:pPr>
        <w:pStyle w:val="842"/>
        <w:spacing w:line="360" w:lineRule="auto"/>
        <w:rPr>
          <w:rFonts w:hint="eastAsia"/>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四</w:t>
      </w:r>
      <w:r>
        <w:rPr>
          <w:rFonts w:hint="eastAsia" w:ascii="宋体" w:hAnsi="宋体" w:cs="宋体"/>
          <w:b/>
          <w:sz w:val="24"/>
          <w:szCs w:val="24"/>
          <w:highlight w:val="none"/>
        </w:rPr>
        <w:t xml:space="preserve">）</w:t>
      </w:r>
      <w:r>
        <w:rPr>
          <w:rFonts w:hint="eastAsia" w:ascii="宋体" w:hAnsi="宋体" w:cs="宋体"/>
          <w:b/>
          <w:sz w:val="24"/>
          <w:szCs w:val="24"/>
          <w:highlight w:val="none"/>
          <w:lang w:eastAsia="zh-CN"/>
        </w:rPr>
        <w:t xml:space="preserve">分项报价表</w:t>
      </w:r>
      <w:r>
        <w:rPr>
          <w:rFonts w:hint="eastAsia" w:ascii="宋体" w:hAnsi="宋体" w:cs="宋体"/>
          <w:b/>
          <w:sz w:val="24"/>
          <w:szCs w:val="24"/>
          <w:highlight w:val="none"/>
        </w:rPr>
        <w:t xml:space="preserve"> (格式)：</w:t>
      </w:r>
      <w:r>
        <w:rPr>
          <w:rFonts w:hint="eastAsia"/>
          <w:bCs/>
          <w:sz w:val="24"/>
          <w:szCs w:val="24"/>
          <w:highlight w:val="none"/>
        </w:rPr>
      </w:r>
      <w:r/>
    </w:p>
    <w:p>
      <w:pPr>
        <w:pStyle w:val="842"/>
        <w:jc w:val="center"/>
        <w:spacing w:line="360" w:lineRule="auto"/>
        <w:rPr>
          <w:rFonts w:hint="eastAsia" w:ascii="宋体" w:hAnsi="宋体" w:eastAsia="宋体" w:cs="宋体"/>
          <w:b/>
          <w:sz w:val="36"/>
          <w:szCs w:val="28"/>
          <w:highlight w:val="none"/>
          <w:lang w:eastAsia="zh-CN"/>
        </w:rPr>
      </w:pPr>
      <w:r>
        <w:rPr>
          <w:rFonts w:hint="eastAsia" w:ascii="宋体" w:hAnsi="宋体" w:cs="宋体"/>
          <w:b/>
          <w:sz w:val="36"/>
          <w:szCs w:val="28"/>
          <w:highlight w:val="none"/>
          <w:lang w:eastAsia="zh-CN"/>
        </w:rPr>
        <w:t xml:space="preserve">分项报价表</w:t>
      </w:r>
      <w:r>
        <w:rPr>
          <w:rFonts w:hint="eastAsia" w:ascii="宋体" w:hAnsi="宋体" w:eastAsia="宋体" w:cs="宋体"/>
          <w:b/>
          <w:sz w:val="36"/>
          <w:szCs w:val="28"/>
          <w:highlight w:val="none"/>
          <w:lang w:eastAsia="zh-CN"/>
        </w:rPr>
      </w:r>
      <w:r/>
    </w:p>
    <w:p>
      <w:pPr>
        <w:pStyle w:val="866"/>
        <w:rPr>
          <w:rFonts w:hint="eastAsia"/>
          <w:highlight w:val="none"/>
        </w:rPr>
      </w:pPr>
      <w:r>
        <w:rPr>
          <w:rFonts w:hint="eastAsia"/>
          <w:highlight w:val="none"/>
        </w:rPr>
      </w:r>
      <w:r/>
    </w:p>
    <w:p>
      <w:pPr>
        <w:pStyle w:val="842"/>
        <w:spacing w:line="400" w:lineRule="exact"/>
        <w:rPr>
          <w:rFonts w:hint="eastAsia" w:ascii="宋体" w:hAnsi="宋体" w:cs="宋体"/>
          <w:szCs w:val="21"/>
          <w:highlight w:val="none"/>
        </w:rPr>
      </w:pPr>
      <w:r>
        <w:rPr>
          <w:rFonts w:hint="eastAsia" w:ascii="宋体" w:hAnsi="宋体" w:cs="宋体"/>
          <w:szCs w:val="21"/>
          <w:highlight w:val="none"/>
        </w:rPr>
        <w:t xml:space="preserve">投标人名称（盖章）                              招标编号：</w:t>
      </w:r>
      <w:r>
        <w:rPr>
          <w:rFonts w:hint="eastAsia" w:ascii="宋体" w:hAnsi="宋体" w:cs="宋体"/>
          <w:szCs w:val="21"/>
          <w:highlight w:val="none"/>
        </w:rPr>
      </w:r>
      <w:r/>
    </w:p>
    <w:tbl>
      <w:tblPr>
        <w:tblW w:w="0" w:type="auto"/>
        <w:tblInd w:w="-12" w:type="dxa"/>
        <w:tblLayout w:type="autofit"/>
        <w:tblCellMar>
          <w:left w:w="108" w:type="dxa"/>
          <w:top w:w="0" w:type="dxa"/>
          <w:right w:w="108" w:type="dxa"/>
          <w:bottom w:w="0" w:type="dxa"/>
        </w:tblCellMar>
        <w:tblLook w:val="04A0" w:firstRow="1" w:lastRow="0" w:firstColumn="1" w:lastColumn="0" w:noHBand="0" w:noVBand="1"/>
      </w:tblPr>
      <w:tblGrid>
        <w:gridCol w:w="636"/>
        <w:gridCol w:w="863"/>
        <w:gridCol w:w="571"/>
        <w:gridCol w:w="864"/>
        <w:gridCol w:w="864"/>
        <w:gridCol w:w="572"/>
        <w:gridCol w:w="572"/>
        <w:gridCol w:w="572"/>
        <w:gridCol w:w="1138"/>
        <w:gridCol w:w="1138"/>
        <w:gridCol w:w="636"/>
      </w:tblGrid>
      <w:tr>
        <w:trPr>
          <w:trHeight w:val="540"/>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序号</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42"/>
              <w:jc w:val="center"/>
              <w:spacing w:line="360" w:lineRule="auto"/>
              <w:rPr>
                <w:rFonts w:ascii="宋体" w:hAnsi="宋体"/>
                <w:bCs/>
                <w:szCs w:val="21"/>
                <w:highlight w:val="none"/>
              </w:rPr>
              <w:outlineLvl w:val="9"/>
            </w:pPr>
            <w:r>
              <w:rPr>
                <w:rFonts w:hint="eastAsia" w:ascii="宋体" w:hAnsi="宋体"/>
                <w:bCs/>
                <w:szCs w:val="21"/>
                <w:highlight w:val="none"/>
              </w:rPr>
              <w:t xml:space="preserve">产品名称</w:t>
            </w:r>
            <w:r>
              <w:rPr>
                <w:rFonts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品牌</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规格型号</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注册证号</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产地</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单位</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数量</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单价（元）</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合计（元）</w:t>
            </w:r>
            <w:r>
              <w:rPr>
                <w:rFonts w:hint="eastAsia" w:ascii="宋体" w:hAnsi="宋体"/>
                <w:bCs/>
                <w:szCs w:val="21"/>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备注</w:t>
            </w:r>
            <w:r>
              <w:rPr>
                <w:rFonts w:hint="eastAsia" w:ascii="宋体" w:hAnsi="宋体"/>
                <w:bCs/>
                <w:szCs w:val="21"/>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72"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842"/>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gridSpan w:val="11"/>
            <w:tcBorders>
              <w:top w:val="single" w:color="000000" w:sz="4" w:space="0"/>
              <w:left w:val="single" w:color="000000" w:sz="4" w:space="0"/>
              <w:bottom w:val="single" w:color="000000" w:sz="4" w:space="0"/>
              <w:right w:val="single" w:color="000000" w:sz="4" w:space="0"/>
            </w:tcBorders>
            <w:tcW w:w="8426" w:type="dxa"/>
            <w:vAlign w:val="center"/>
            <w:textDirection w:val="lrTb"/>
            <w:noWrap/>
          </w:tcPr>
          <w:p>
            <w:pPr>
              <w:pStyle w:val="842"/>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合计</w:t>
            </w:r>
            <w:r>
              <w:rPr>
                <w:rFonts w:hint="eastAsia" w:ascii="宋体" w:hAnsi="宋体" w:eastAsia="宋体" w:cs="宋体"/>
                <w:color w:val="000000"/>
                <w:sz w:val="22"/>
                <w:szCs w:val="22"/>
                <w:highlight w:val="none"/>
                <w:lang w:eastAsia="zh-CN"/>
              </w:rPr>
            </w:r>
            <w:r/>
          </w:p>
        </w:tc>
      </w:tr>
    </w:tbl>
    <w:p>
      <w:pPr>
        <w:pStyle w:val="842"/>
        <w:spacing w:line="240" w:lineRule="exact"/>
        <w:rPr>
          <w:rFonts w:hint="eastAsia" w:ascii="宋体" w:hAnsi="宋体" w:cs="宋体"/>
          <w:b/>
          <w:bCs/>
          <w:szCs w:val="21"/>
          <w:highlight w:val="none"/>
        </w:rPr>
        <w:outlineLvl w:val="9"/>
      </w:pPr>
      <w:r>
        <w:rPr>
          <w:rFonts w:hint="eastAsia" w:ascii="宋体" w:hAnsi="宋体" w:cs="宋体"/>
          <w:b/>
          <w:bCs/>
          <w:szCs w:val="21"/>
          <w:highlight w:val="none"/>
        </w:rPr>
      </w:r>
      <w:r/>
    </w:p>
    <w:p>
      <w:pPr>
        <w:pStyle w:val="842"/>
        <w:spacing w:line="240" w:lineRule="exact"/>
        <w:rPr>
          <w:rFonts w:hint="eastAsia" w:ascii="宋体" w:hAnsi="宋体" w:cs="宋体"/>
          <w:b/>
          <w:bCs/>
          <w:szCs w:val="21"/>
          <w:highlight w:val="none"/>
        </w:rPr>
        <w:outlineLvl w:val="9"/>
      </w:pPr>
      <w:r>
        <w:rPr>
          <w:rFonts w:hint="eastAsia" w:ascii="宋体" w:hAnsi="宋体" w:cs="宋体"/>
          <w:b/>
          <w:bCs/>
          <w:szCs w:val="21"/>
          <w:highlight w:val="none"/>
        </w:rPr>
      </w:r>
      <w:r/>
    </w:p>
    <w:p>
      <w:pPr>
        <w:pStyle w:val="842"/>
        <w:spacing w:line="360" w:lineRule="auto"/>
        <w:rPr>
          <w:rFonts w:hint="eastAsia" w:ascii="宋体" w:hAnsi="宋体" w:cs="宋体"/>
          <w:szCs w:val="21"/>
          <w:highlight w:val="none"/>
        </w:rPr>
        <w:outlineLvl w:val="9"/>
      </w:pPr>
      <w:r>
        <w:rPr>
          <w:rFonts w:hint="eastAsia" w:ascii="宋体" w:hAnsi="宋体" w:cs="宋体"/>
          <w:szCs w:val="21"/>
          <w:highlight w:val="none"/>
        </w:rPr>
      </w:r>
      <w:r/>
    </w:p>
    <w:p>
      <w:pPr>
        <w:pStyle w:val="842"/>
        <w:spacing w:line="360" w:lineRule="auto"/>
        <w:rPr>
          <w:rFonts w:hint="eastAsia" w:ascii="宋体" w:hAnsi="宋体" w:cs="宋体"/>
          <w:szCs w:val="21"/>
          <w:highlight w:val="none"/>
        </w:rPr>
        <w:outlineLvl w:val="9"/>
      </w:pPr>
      <w:r>
        <w:rPr>
          <w:rFonts w:hint="eastAsia" w:ascii="宋体" w:hAnsi="宋体" w:cs="宋体"/>
          <w:szCs w:val="21"/>
          <w:highlight w:val="none"/>
        </w:rPr>
        <w:t xml:space="preserve">法定代表人或法定代表人授权代表签字或盖章：</w:t>
      </w:r>
      <w:r>
        <w:rPr>
          <w:rFonts w:hint="eastAsia" w:ascii="宋体" w:hAnsi="宋体" w:cs="宋体"/>
          <w:szCs w:val="21"/>
          <w:highlight w:val="none"/>
        </w:rPr>
      </w:r>
      <w:r/>
    </w:p>
    <w:p>
      <w:pPr>
        <w:pStyle w:val="842"/>
        <w:spacing w:line="360" w:lineRule="auto"/>
        <w:rPr>
          <w:rFonts w:hint="eastAsia" w:ascii="宋体" w:hAnsi="宋体" w:cs="宋体"/>
          <w:szCs w:val="21"/>
          <w:highlight w:val="none"/>
        </w:rPr>
      </w:pPr>
      <w:r>
        <w:rPr>
          <w:rFonts w:hint="eastAsia" w:ascii="宋体" w:hAnsi="宋体" w:cs="宋体"/>
          <w:szCs w:val="21"/>
          <w:highlight w:val="none"/>
        </w:rPr>
      </w:r>
      <w:r/>
    </w:p>
    <w:p>
      <w:pPr>
        <w:pStyle w:val="842"/>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rPr>
      </w:r>
      <w:r/>
    </w:p>
    <w:p>
      <w:pPr>
        <w:pStyle w:val="1044"/>
        <w:ind w:firstLine="0"/>
        <w:rPr>
          <w:rFonts w:hint="eastAsia" w:eastAsia="黑体"/>
          <w:bCs/>
          <w:sz w:val="24"/>
          <w:szCs w:val="24"/>
          <w:highlight w:val="none"/>
        </w:rPr>
      </w:pPr>
      <w:r>
        <w:rPr>
          <w:rFonts w:hint="eastAsia" w:eastAsia="黑体"/>
          <w:bCs/>
          <w:sz w:val="24"/>
          <w:szCs w:val="24"/>
          <w:highlight w:val="none"/>
        </w:rPr>
        <w:br w:type="page" w:clear="all"/>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bidi="ar-SA"/>
        </w:rPr>
        <w:t xml:space="preserve">商务响应偏离表（格式）：</w:t>
      </w:r>
      <w:r>
        <w:rPr>
          <w:rFonts w:hint="eastAsia" w:eastAsia="黑体"/>
          <w:bCs/>
          <w:sz w:val="24"/>
          <w:szCs w:val="24"/>
          <w:highlight w:val="none"/>
        </w:rPr>
      </w:r>
      <w:r/>
    </w:p>
    <w:p>
      <w:pPr>
        <w:pStyle w:val="842"/>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842"/>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商务响应偏离表</w:t>
      </w:r>
      <w:r>
        <w:rPr>
          <w:rFonts w:hint="eastAsia" w:ascii="宋体" w:hAnsi="宋体" w:cs="宋体"/>
          <w:b/>
          <w:sz w:val="36"/>
          <w:szCs w:val="28"/>
          <w:highlight w:val="none"/>
        </w:rPr>
      </w:r>
      <w:r/>
    </w:p>
    <w:p>
      <w:pPr>
        <w:pStyle w:val="842"/>
        <w:spacing w:line="400" w:lineRule="exact"/>
        <w:rPr>
          <w:rFonts w:ascii="宋体" w:hAnsi="宋体"/>
          <w:bCs/>
          <w:sz w:val="24"/>
          <w:szCs w:val="24"/>
          <w:highlight w:val="none"/>
        </w:rPr>
        <w:outlineLvl w:val="9"/>
      </w:pPr>
      <w:r>
        <w:rPr>
          <w:rFonts w:ascii="宋体" w:hAnsi="宋体"/>
          <w:bCs/>
          <w:sz w:val="24"/>
          <w:szCs w:val="24"/>
          <w:highlight w:val="none"/>
        </w:rPr>
      </w:r>
      <w:r/>
    </w:p>
    <w:p>
      <w:pPr>
        <w:pStyle w:val="842"/>
        <w:spacing w:line="360" w:lineRule="auto"/>
        <w:rPr>
          <w:rFonts w:hint="eastAsia" w:ascii="宋体" w:hAnsi="宋体"/>
          <w:bCs/>
          <w:szCs w:val="21"/>
          <w:highlight w:val="none"/>
        </w:rPr>
      </w:pPr>
      <w:r>
        <w:rPr>
          <w:rFonts w:hint="eastAsia" w:ascii="宋体" w:hAnsi="宋体"/>
          <w:bCs/>
          <w:szCs w:val="21"/>
          <w:highlight w:val="none"/>
        </w:rPr>
        <w:t xml:space="preserve">招标编号：</w:t>
      </w:r>
      <w:r>
        <w:rPr>
          <w:rFonts w:hint="eastAsia" w:ascii="宋体" w:hAnsi="宋体"/>
          <w:bCs/>
          <w:szCs w:val="21"/>
          <w:highlight w:val="none"/>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trHeight w:val="855"/>
        </w:trPr>
        <w:tc>
          <w:tcPr>
            <w:tcW w:w="934" w:type="dxa"/>
            <w:vAlign w:val="center"/>
            <w:textDirection w:val="lrTb"/>
            <w:noWrap w:val="false"/>
          </w:tcPr>
          <w:p>
            <w:pPr>
              <w:pStyle w:val="842"/>
              <w:jc w:val="left"/>
              <w:spacing w:line="360" w:lineRule="auto"/>
              <w:rPr>
                <w:rFonts w:ascii="宋体" w:hAnsi="宋体"/>
                <w:bCs/>
                <w:szCs w:val="21"/>
                <w:highlight w:val="none"/>
              </w:rPr>
              <w:framePr w:vAnchor="margin" w:hAnchor="page" w:xAlign="center" w:y="1"/>
              <w:outlineLvl w:val="9"/>
            </w:pPr>
            <w:r>
              <w:rPr>
                <w:rFonts w:hint="eastAsia" w:ascii="宋体" w:hAnsi="宋体"/>
                <w:bCs/>
                <w:szCs w:val="21"/>
                <w:highlight w:val="none"/>
              </w:rPr>
              <w:t xml:space="preserve">序号</w:t>
            </w:r>
            <w:r>
              <w:rPr>
                <w:rFonts w:ascii="宋体" w:hAnsi="宋体"/>
                <w:bCs/>
                <w:szCs w:val="21"/>
                <w:highlight w:val="none"/>
              </w:rPr>
            </w:r>
            <w:r/>
          </w:p>
        </w:tc>
        <w:tc>
          <w:tcPr>
            <w:tcW w:w="2051"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hint="eastAsia" w:ascii="宋体" w:hAnsi="宋体"/>
                <w:bCs/>
                <w:szCs w:val="21"/>
                <w:highlight w:val="none"/>
              </w:rPr>
              <w:t xml:space="preserve">招标文件条目号</w:t>
            </w:r>
            <w:r>
              <w:rPr>
                <w:rFonts w:ascii="宋体" w:hAnsi="宋体"/>
                <w:bCs/>
                <w:szCs w:val="21"/>
                <w:highlight w:val="none"/>
              </w:rPr>
            </w:r>
            <w:r/>
          </w:p>
        </w:tc>
        <w:tc>
          <w:tcPr>
            <w:tcW w:w="2970" w:type="dxa"/>
            <w:vAlign w:val="center"/>
            <w:textDirection w:val="lrTb"/>
            <w:noWrap w:val="false"/>
          </w:tcPr>
          <w:p>
            <w:pPr>
              <w:pStyle w:val="842"/>
              <w:jc w:val="center"/>
              <w:spacing w:line="360" w:lineRule="auto"/>
              <w:rPr>
                <w:rFonts w:hint="eastAsia" w:ascii="宋体" w:hAnsi="宋体"/>
                <w:bCs/>
                <w:szCs w:val="21"/>
                <w:highlight w:val="none"/>
              </w:rPr>
              <w:framePr w:vAnchor="margin" w:hAnchor="page" w:xAlign="center" w:y="1"/>
              <w:outlineLvl w:val="9"/>
            </w:pPr>
            <w:r>
              <w:rPr>
                <w:rFonts w:hint="eastAsia" w:ascii="宋体" w:hAnsi="宋体"/>
                <w:bCs/>
                <w:szCs w:val="21"/>
                <w:highlight w:val="none"/>
              </w:rPr>
              <w:t xml:space="preserve">招标文件要求的商务条款</w:t>
            </w:r>
            <w:r>
              <w:rPr>
                <w:rFonts w:hint="eastAsia" w:ascii="宋体" w:hAnsi="宋体"/>
                <w:bCs/>
                <w:szCs w:val="21"/>
                <w:highlight w:val="none"/>
              </w:rPr>
            </w:r>
            <w:r/>
          </w:p>
        </w:tc>
        <w:tc>
          <w:tcPr>
            <w:tcW w:w="2149"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hint="eastAsia" w:ascii="宋体" w:hAnsi="宋体"/>
                <w:bCs/>
                <w:szCs w:val="21"/>
                <w:highlight w:val="none"/>
              </w:rPr>
              <w:t xml:space="preserve">投标文件响应情况</w:t>
            </w:r>
            <w:r>
              <w:rPr>
                <w:rFonts w:ascii="宋体" w:hAnsi="宋体"/>
                <w:bCs/>
                <w:szCs w:val="21"/>
                <w:highlight w:val="none"/>
              </w:rPr>
            </w:r>
            <w:r/>
          </w:p>
        </w:tc>
        <w:tc>
          <w:tcPr>
            <w:tcW w:w="1335"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hint="eastAsia" w:ascii="宋体" w:hAnsi="宋体"/>
                <w:bCs/>
                <w:szCs w:val="21"/>
                <w:highlight w:val="none"/>
              </w:rPr>
              <w:t xml:space="preserve">偏离/响应</w:t>
            </w:r>
            <w:r>
              <w:rPr>
                <w:rFonts w:ascii="宋体" w:hAnsi="宋体"/>
                <w:bCs/>
                <w:szCs w:val="21"/>
                <w:highlight w:val="none"/>
              </w:rPr>
            </w:r>
            <w:r/>
          </w:p>
        </w:tc>
      </w:tr>
      <w:tr>
        <w:trPr>
          <w:trHeight w:val="478"/>
        </w:trPr>
        <w:tc>
          <w:tcPr>
            <w:tcW w:w="934" w:type="dxa"/>
            <w:vAlign w:val="center"/>
            <w:textDirection w:val="lrTb"/>
            <w:noWrap w:val="false"/>
          </w:tcPr>
          <w:p>
            <w:pPr>
              <w:pStyle w:val="842"/>
              <w:jc w:val="left"/>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051"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78"/>
        </w:trPr>
        <w:tc>
          <w:tcPr>
            <w:tcW w:w="934"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051"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78"/>
        </w:trPr>
        <w:tc>
          <w:tcPr>
            <w:tcW w:w="934"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051"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78"/>
        </w:trPr>
        <w:tc>
          <w:tcPr>
            <w:tcW w:w="934"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051"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78"/>
        </w:trPr>
        <w:tc>
          <w:tcPr>
            <w:tcW w:w="934"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051"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78"/>
        </w:trPr>
        <w:tc>
          <w:tcPr>
            <w:tcW w:w="934" w:type="dxa"/>
            <w:vAlign w:val="center"/>
            <w:textDirection w:val="lrTb"/>
            <w:noWrap w:val="false"/>
          </w:tcPr>
          <w:p>
            <w:pPr>
              <w:pStyle w:val="842"/>
              <w:jc w:val="center"/>
              <w:spacing w:line="360" w:lineRule="auto"/>
              <w:rPr>
                <w:rFonts w:hint="eastAsia" w:ascii="宋体" w:hAnsi="宋体"/>
                <w:bCs/>
                <w:szCs w:val="21"/>
                <w:highlight w:val="none"/>
              </w:rPr>
              <w:framePr w:vAnchor="margin" w:hAnchor="page" w:xAlign="center" w:y="1"/>
              <w:outlineLvl w:val="9"/>
            </w:pPr>
            <w:r>
              <w:rPr>
                <w:rFonts w:hint="eastAsia" w:ascii="宋体" w:hAnsi="宋体"/>
                <w:bCs/>
                <w:szCs w:val="21"/>
                <w:highlight w:val="none"/>
              </w:rPr>
            </w:r>
            <w:r/>
          </w:p>
        </w:tc>
        <w:tc>
          <w:tcPr>
            <w:tcW w:w="2051"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r>
        <w:trPr>
          <w:trHeight w:val="495"/>
        </w:trPr>
        <w:tc>
          <w:tcPr>
            <w:tcW w:w="934" w:type="dxa"/>
            <w:vAlign w:val="center"/>
            <w:textDirection w:val="lrTb"/>
            <w:noWrap w:val="false"/>
          </w:tcPr>
          <w:p>
            <w:pPr>
              <w:pStyle w:val="842"/>
              <w:jc w:val="center"/>
              <w:spacing w:line="360" w:lineRule="auto"/>
              <w:rPr>
                <w:rFonts w:hint="eastAsia" w:ascii="宋体" w:hAnsi="宋体"/>
                <w:bCs/>
                <w:szCs w:val="21"/>
                <w:highlight w:val="none"/>
              </w:rPr>
              <w:framePr w:vAnchor="margin" w:hAnchor="page" w:xAlign="center" w:y="1"/>
              <w:outlineLvl w:val="9"/>
            </w:pPr>
            <w:r>
              <w:rPr>
                <w:rFonts w:hint="eastAsia" w:ascii="宋体" w:hAnsi="宋体"/>
                <w:bCs/>
                <w:szCs w:val="21"/>
                <w:highlight w:val="none"/>
              </w:rPr>
            </w:r>
            <w:r/>
          </w:p>
        </w:tc>
        <w:tc>
          <w:tcPr>
            <w:tcW w:w="2051"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970"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2149"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c>
          <w:tcPr>
            <w:tcW w:w="1335" w:type="dxa"/>
            <w:vAlign w:val="center"/>
            <w:textDirection w:val="lrTb"/>
            <w:noWrap w:val="false"/>
          </w:tcPr>
          <w:p>
            <w:pPr>
              <w:pStyle w:val="842"/>
              <w:jc w:val="center"/>
              <w:spacing w:line="360" w:lineRule="auto"/>
              <w:rPr>
                <w:rFonts w:ascii="宋体" w:hAnsi="宋体"/>
                <w:bCs/>
                <w:szCs w:val="21"/>
                <w:highlight w:val="none"/>
              </w:rPr>
              <w:framePr w:vAnchor="margin" w:hAnchor="page" w:xAlign="center" w:y="1"/>
              <w:outlineLvl w:val="9"/>
            </w:pPr>
            <w:r>
              <w:rPr>
                <w:rFonts w:ascii="宋体" w:hAnsi="宋体"/>
                <w:bCs/>
                <w:szCs w:val="21"/>
                <w:highlight w:val="none"/>
              </w:rPr>
            </w:r>
            <w:r/>
          </w:p>
        </w:tc>
      </w:tr>
    </w:tbl>
    <w:p>
      <w:pPr>
        <w:pStyle w:val="1045"/>
        <w:ind w:firstLine="0"/>
        <w:spacing w:line="360" w:lineRule="auto"/>
        <w:rPr>
          <w:rFonts w:hint="eastAsia"/>
          <w:szCs w:val="21"/>
          <w:highlight w:val="none"/>
        </w:rPr>
      </w:pPr>
      <w:r>
        <w:rPr>
          <w:rFonts w:hint="eastAsia"/>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t xml:space="preserve">投标人名称（盖章）：</w:t>
      </w:r>
      <w:r>
        <w:rPr>
          <w:rFonts w:hint="eastAsia" w:ascii="Arial" w:hAnsi="Arial" w:cs="Arial"/>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rPr>
          <w:rFonts w:hint="eastAsia" w:ascii="Arial" w:hAnsi="Arial" w:cs="Arial"/>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t xml:space="preserve">日期：</w:t>
      </w:r>
      <w:r>
        <w:rPr>
          <w:rFonts w:hint="eastAsia" w:ascii="Arial" w:hAnsi="Arial" w:cs="Arial"/>
          <w:szCs w:val="21"/>
          <w:highlight w:val="none"/>
        </w:rPr>
      </w:r>
      <w:r/>
    </w:p>
    <w:p>
      <w:pPr>
        <w:pStyle w:val="842"/>
        <w:spacing w:line="440" w:lineRule="exact"/>
        <w:rPr>
          <w:rFonts w:ascii="Arial" w:hAnsi="Arial" w:cs="Arial"/>
          <w:color w:val="000000"/>
          <w:szCs w:val="21"/>
          <w:highlight w:val="none"/>
        </w:rPr>
      </w:pPr>
      <w:r>
        <w:rPr>
          <w:rFonts w:ascii="Arial" w:hAnsi="Arial" w:cs="Arial"/>
          <w:color w:val="000000"/>
          <w:szCs w:val="21"/>
          <w:highlight w:val="none"/>
        </w:rPr>
      </w:r>
      <w:r/>
    </w:p>
    <w:p>
      <w:pPr>
        <w:pStyle w:val="84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szCs w:val="21"/>
          <w:highlight w:val="none"/>
        </w:rPr>
        <w:t xml:space="preserve">投标人应对招标文件《</w:t>
      </w:r>
      <w:r>
        <w:rPr>
          <w:rFonts w:hint="eastAsia" w:ascii="宋体" w:hAnsi="宋体" w:cs="宋体"/>
          <w:szCs w:val="21"/>
          <w:highlight w:val="none"/>
          <w:lang w:eastAsia="zh-CN"/>
        </w:rPr>
        <w:t xml:space="preserve">采购需求</w:t>
      </w:r>
      <w:r>
        <w:rPr>
          <w:rFonts w:hint="eastAsia" w:ascii="宋体" w:hAnsi="宋体" w:cs="宋体"/>
          <w:szCs w:val="21"/>
          <w:highlight w:val="none"/>
        </w:rPr>
        <w:t xml:space="preserve">》商务要求的内容给予逐条响应，若漏项或不逐条应答视为</w:t>
      </w:r>
      <w:r>
        <w:rPr>
          <w:rFonts w:hint="eastAsia" w:ascii="宋体" w:hAnsi="宋体" w:cs="宋体"/>
          <w:color w:val="000000"/>
          <w:szCs w:val="21"/>
          <w:highlight w:val="none"/>
        </w:rPr>
        <w:t xml:space="preserve">完全响应招标文件的商务条款要求。</w:t>
      </w:r>
      <w:r>
        <w:rPr>
          <w:rFonts w:hint="eastAsia" w:ascii="宋体" w:hAnsi="宋体" w:cs="宋体"/>
          <w:color w:val="000000"/>
          <w:szCs w:val="21"/>
          <w:highlight w:val="none"/>
        </w:rPr>
      </w:r>
      <w:r/>
    </w:p>
    <w:p>
      <w:pPr>
        <w:pStyle w:val="842"/>
        <w:numPr>
          <w:ilvl w:val="0"/>
          <w:numId w:val="7"/>
        </w:numPr>
        <w:ind w:firstLine="420"/>
        <w:spacing w:line="440" w:lineRule="exact"/>
        <w:rPr>
          <w:rFonts w:hint="eastAsia" w:ascii="宋体" w:hAnsi="宋体" w:cs="宋体"/>
          <w:color w:val="000000"/>
          <w:szCs w:val="21"/>
          <w:highlight w:val="none"/>
        </w:rPr>
      </w:pPr>
      <w:r>
        <w:rPr>
          <w:rFonts w:hint="eastAsia" w:ascii="宋体" w:hAnsi="宋体" w:cs="宋体"/>
          <w:szCs w:val="21"/>
          <w:highlight w:val="none"/>
        </w:rPr>
        <w:t xml:space="preserve">“偏离/响应”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rPr>
          <w:rFonts w:hint="eastAsia" w:ascii="宋体" w:hAnsi="宋体" w:cs="宋体"/>
          <w:color w:val="000000"/>
          <w:szCs w:val="21"/>
          <w:highlight w:val="none"/>
        </w:rPr>
      </w:r>
      <w:r/>
    </w:p>
    <w:p>
      <w:pPr>
        <w:pStyle w:val="842"/>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rPr>
          <w:rFonts w:hint="eastAsia" w:ascii="宋体" w:hAnsi="宋体" w:cs="宋体"/>
          <w:color w:val="000000"/>
          <w:szCs w:val="21"/>
          <w:highlight w:val="none"/>
        </w:rPr>
      </w:r>
      <w:r/>
    </w:p>
    <w:p>
      <w:pPr>
        <w:pStyle w:val="866"/>
        <w:rPr>
          <w:rFonts w:hint="eastAsia" w:ascii="宋体" w:hAnsi="宋体"/>
          <w:sz w:val="24"/>
          <w:szCs w:val="24"/>
          <w:highlight w:val="none"/>
        </w:rPr>
      </w:pPr>
      <w:r>
        <w:rPr>
          <w:rFonts w:hint="eastAsia" w:ascii="宋体" w:hAnsi="宋体"/>
          <w:sz w:val="24"/>
          <w:szCs w:val="24"/>
          <w:highlight w:val="none"/>
        </w:rPr>
      </w:r>
      <w:r/>
    </w:p>
    <w:p>
      <w:pPr>
        <w:pStyle w:val="842"/>
        <w:jc w:val="left"/>
        <w:spacing w:line="360" w:lineRule="auto"/>
        <w:rPr>
          <w:rFonts w:hint="eastAsia" w:ascii="宋体" w:hAnsi="宋体" w:cs="宋体"/>
          <w:b/>
          <w:sz w:val="24"/>
          <w:szCs w:val="24"/>
          <w:highlight w:val="none"/>
        </w:rPr>
        <w:outlineLvl w:val="9"/>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）技术响应偏离表（格式）：</w:t>
      </w:r>
      <w:r>
        <w:rPr>
          <w:rFonts w:hint="eastAsia" w:ascii="宋体" w:hAnsi="宋体" w:cs="宋体"/>
          <w:b/>
          <w:sz w:val="24"/>
          <w:szCs w:val="24"/>
          <w:highlight w:val="none"/>
        </w:rPr>
      </w:r>
      <w:r/>
    </w:p>
    <w:p>
      <w:pPr>
        <w:pStyle w:val="842"/>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842"/>
        <w:jc w:val="center"/>
        <w:spacing w:line="360" w:lineRule="auto"/>
        <w:rPr>
          <w:rFonts w:ascii="宋体" w:hAnsi="宋体" w:cs="宋体"/>
          <w:b/>
          <w:sz w:val="36"/>
          <w:szCs w:val="28"/>
          <w:highlight w:val="none"/>
        </w:rPr>
      </w:pPr>
      <w:r>
        <w:rPr>
          <w:rFonts w:hint="eastAsia" w:ascii="宋体" w:hAnsi="宋体" w:cs="宋体"/>
          <w:b/>
          <w:sz w:val="36"/>
          <w:szCs w:val="28"/>
          <w:highlight w:val="none"/>
        </w:rPr>
        <w:t xml:space="preserve">技术响应偏离表</w:t>
      </w:r>
      <w:r>
        <w:rPr>
          <w:rFonts w:ascii="宋体" w:hAnsi="宋体" w:cs="宋体"/>
          <w:b/>
          <w:sz w:val="36"/>
          <w:szCs w:val="28"/>
          <w:highlight w:val="none"/>
        </w:rPr>
      </w:r>
      <w:r/>
    </w:p>
    <w:p>
      <w:pPr>
        <w:pStyle w:val="842"/>
        <w:spacing w:line="360" w:lineRule="auto"/>
        <w:rPr>
          <w:rFonts w:hint="eastAsia" w:ascii="宋体" w:hAnsi="宋体"/>
          <w:bCs/>
          <w:szCs w:val="21"/>
          <w:highlight w:val="none"/>
        </w:rPr>
        <w:outlineLvl w:val="9"/>
      </w:pPr>
      <w:r>
        <w:rPr>
          <w:rFonts w:hint="eastAsia" w:ascii="宋体" w:hAnsi="宋体"/>
          <w:bCs/>
          <w:szCs w:val="21"/>
          <w:highlight w:val="none"/>
        </w:rPr>
        <w:t xml:space="preserve">招标编号：</w:t>
      </w:r>
      <w:r>
        <w:rPr>
          <w:rFonts w:hint="eastAsia" w:ascii="宋体" w:hAnsi="宋体"/>
          <w:bCs/>
          <w:szCs w:val="21"/>
          <w:highlight w:val="none"/>
        </w:rPr>
      </w:r>
      <w:r/>
    </w:p>
    <w:tbl>
      <w:tblPr>
        <w:tblW w:w="82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trHeight w:val="855"/>
        </w:trPr>
        <w:tc>
          <w:tcPr>
            <w:tcW w:w="959" w:type="dxa"/>
            <w:vAlign w:val="center"/>
            <w:textDirection w:val="lrTb"/>
            <w:noWrap w:val="false"/>
          </w:tcPr>
          <w:p>
            <w:pPr>
              <w:pStyle w:val="842"/>
              <w:jc w:val="center"/>
              <w:spacing w:line="360" w:lineRule="auto"/>
              <w:rPr>
                <w:rFonts w:ascii="宋体" w:hAnsi="宋体"/>
                <w:bCs/>
                <w:szCs w:val="21"/>
                <w:highlight w:val="none"/>
              </w:rPr>
              <w:outlineLvl w:val="9"/>
            </w:pPr>
            <w:r>
              <w:rPr>
                <w:rFonts w:hint="eastAsia" w:ascii="宋体" w:hAnsi="宋体"/>
                <w:bCs/>
                <w:szCs w:val="21"/>
                <w:highlight w:val="none"/>
              </w:rPr>
              <w:t xml:space="preserve">序号</w:t>
            </w:r>
            <w:r>
              <w:rPr>
                <w:rFonts w:ascii="宋体" w:hAnsi="宋体"/>
                <w:bCs/>
                <w:szCs w:val="21"/>
                <w:highlight w:val="none"/>
              </w:rPr>
            </w:r>
            <w:r/>
          </w:p>
        </w:tc>
        <w:tc>
          <w:tcPr>
            <w:tcW w:w="1577" w:type="dxa"/>
            <w:vAlign w:val="center"/>
            <w:textDirection w:val="lrTb"/>
            <w:noWrap w:val="false"/>
          </w:tcPr>
          <w:p>
            <w:pPr>
              <w:pStyle w:val="842"/>
              <w:jc w:val="center"/>
              <w:spacing w:line="360" w:lineRule="auto"/>
              <w:rPr>
                <w:rFonts w:ascii="宋体" w:hAnsi="宋体"/>
                <w:bCs/>
                <w:szCs w:val="21"/>
                <w:highlight w:val="none"/>
              </w:rPr>
              <w:outlineLvl w:val="9"/>
            </w:pPr>
            <w:r>
              <w:rPr>
                <w:rFonts w:hint="eastAsia" w:ascii="宋体" w:hAnsi="宋体"/>
                <w:bCs/>
                <w:szCs w:val="21"/>
                <w:highlight w:val="none"/>
              </w:rPr>
              <w:t xml:space="preserve">招标文件条目号</w:t>
            </w:r>
            <w:r>
              <w:rPr>
                <w:rFonts w:ascii="宋体" w:hAnsi="宋体"/>
                <w:bCs/>
                <w:szCs w:val="21"/>
                <w:highlight w:val="none"/>
              </w:rPr>
            </w:r>
            <w:r/>
          </w:p>
        </w:tc>
        <w:tc>
          <w:tcPr>
            <w:tcW w:w="1978"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t xml:space="preserve">招标要求规格</w:t>
            </w:r>
            <w:r>
              <w:rPr>
                <w:rFonts w:hint="eastAsia" w:ascii="宋体" w:hAnsi="宋体"/>
                <w:bCs/>
                <w:szCs w:val="21"/>
                <w:highlight w:val="none"/>
              </w:rPr>
            </w:r>
            <w:r/>
          </w:p>
        </w:tc>
        <w:tc>
          <w:tcPr>
            <w:tcW w:w="2229" w:type="dxa"/>
            <w:vAlign w:val="center"/>
            <w:textDirection w:val="lrTb"/>
            <w:noWrap w:val="false"/>
          </w:tcPr>
          <w:p>
            <w:pPr>
              <w:pStyle w:val="842"/>
              <w:jc w:val="center"/>
              <w:spacing w:line="360" w:lineRule="auto"/>
              <w:rPr>
                <w:rFonts w:ascii="宋体" w:hAnsi="宋体"/>
                <w:bCs/>
                <w:szCs w:val="21"/>
                <w:highlight w:val="none"/>
              </w:rPr>
              <w:outlineLvl w:val="9"/>
            </w:pPr>
            <w:r>
              <w:rPr>
                <w:rFonts w:hint="eastAsia" w:ascii="宋体" w:hAnsi="宋体"/>
                <w:bCs/>
                <w:szCs w:val="21"/>
                <w:highlight w:val="none"/>
              </w:rPr>
              <w:t xml:space="preserve">投标文件响应情况</w:t>
            </w:r>
            <w:r>
              <w:rPr>
                <w:rFonts w:ascii="宋体" w:hAnsi="宋体"/>
                <w:bCs/>
                <w:szCs w:val="21"/>
                <w:highlight w:val="none"/>
              </w:rPr>
            </w:r>
            <w:r/>
          </w:p>
        </w:tc>
        <w:tc>
          <w:tcPr>
            <w:tcW w:w="1516" w:type="dxa"/>
            <w:vAlign w:val="center"/>
            <w:textDirection w:val="lrTb"/>
            <w:noWrap w:val="false"/>
          </w:tcPr>
          <w:p>
            <w:pPr>
              <w:pStyle w:val="842"/>
              <w:jc w:val="center"/>
              <w:spacing w:line="360" w:lineRule="auto"/>
              <w:rPr>
                <w:rFonts w:ascii="宋体" w:hAnsi="宋体"/>
                <w:bCs/>
                <w:szCs w:val="21"/>
                <w:highlight w:val="none"/>
              </w:rPr>
              <w:outlineLvl w:val="9"/>
            </w:pPr>
            <w:r>
              <w:rPr>
                <w:rFonts w:hint="eastAsia" w:ascii="宋体" w:hAnsi="宋体"/>
                <w:bCs/>
                <w:szCs w:val="21"/>
                <w:highlight w:val="none"/>
              </w:rPr>
              <w:t xml:space="preserve">偏离/响应</w:t>
            </w:r>
            <w:r>
              <w:rPr>
                <w:rFonts w:ascii="宋体" w:hAnsi="宋体"/>
                <w:bCs/>
                <w:szCs w:val="21"/>
                <w:highlight w:val="none"/>
              </w:rPr>
            </w:r>
            <w:r/>
          </w:p>
        </w:tc>
      </w:tr>
      <w:tr>
        <w:trPr>
          <w:trHeight w:val="478"/>
        </w:trPr>
        <w:tc>
          <w:tcPr>
            <w:tcW w:w="959" w:type="dxa"/>
            <w:vAlign w:val="center"/>
            <w:textDirection w:val="lrTb"/>
            <w:noWrap w:val="false"/>
          </w:tcPr>
          <w:p>
            <w:pPr>
              <w:pStyle w:val="842"/>
              <w:jc w:val="left"/>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78"/>
        </w:trPr>
        <w:tc>
          <w:tcPr>
            <w:tcW w:w="95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78"/>
        </w:trPr>
        <w:tc>
          <w:tcPr>
            <w:tcW w:w="95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78"/>
        </w:trPr>
        <w:tc>
          <w:tcPr>
            <w:tcW w:w="95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78"/>
        </w:trPr>
        <w:tc>
          <w:tcPr>
            <w:tcW w:w="95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77"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78"/>
        </w:trPr>
        <w:tc>
          <w:tcPr>
            <w:tcW w:w="959"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r>
            <w:r/>
          </w:p>
        </w:tc>
        <w:tc>
          <w:tcPr>
            <w:tcW w:w="1577"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r>
      <w:tr>
        <w:trPr>
          <w:trHeight w:val="495"/>
        </w:trPr>
        <w:tc>
          <w:tcPr>
            <w:tcW w:w="959" w:type="dxa"/>
            <w:vAlign w:val="center"/>
            <w:textDirection w:val="lrTb"/>
            <w:noWrap w:val="false"/>
          </w:tcPr>
          <w:p>
            <w:pPr>
              <w:pStyle w:val="842"/>
              <w:jc w:val="center"/>
              <w:spacing w:line="360" w:lineRule="auto"/>
              <w:rPr>
                <w:rFonts w:hint="eastAsia" w:ascii="宋体" w:hAnsi="宋体"/>
                <w:bCs/>
                <w:szCs w:val="21"/>
                <w:highlight w:val="none"/>
              </w:rPr>
              <w:outlineLvl w:val="9"/>
            </w:pPr>
            <w:r>
              <w:rPr>
                <w:rFonts w:hint="eastAsia" w:ascii="宋体" w:hAnsi="宋体"/>
                <w:bCs/>
                <w:szCs w:val="21"/>
                <w:highlight w:val="none"/>
              </w:rPr>
            </w:r>
            <w:r/>
          </w:p>
        </w:tc>
        <w:tc>
          <w:tcPr>
            <w:tcW w:w="1577"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978"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2229"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c>
          <w:tcPr>
            <w:tcW w:w="1516" w:type="dxa"/>
            <w:vAlign w:val="center"/>
            <w:textDirection w:val="lrTb"/>
            <w:noWrap w:val="false"/>
          </w:tcPr>
          <w:p>
            <w:pPr>
              <w:pStyle w:val="842"/>
              <w:jc w:val="center"/>
              <w:spacing w:line="360" w:lineRule="auto"/>
              <w:rPr>
                <w:rFonts w:ascii="宋体" w:hAnsi="宋体"/>
                <w:bCs/>
                <w:szCs w:val="21"/>
                <w:highlight w:val="none"/>
              </w:rPr>
              <w:outlineLvl w:val="9"/>
            </w:pPr>
            <w:r>
              <w:rPr>
                <w:rFonts w:ascii="宋体" w:hAnsi="宋体"/>
                <w:bCs/>
                <w:szCs w:val="21"/>
                <w:highlight w:val="none"/>
              </w:rPr>
            </w:r>
            <w:r/>
          </w:p>
        </w:tc>
      </w:tr>
    </w:tbl>
    <w:p>
      <w:pPr>
        <w:pStyle w:val="842"/>
        <w:spacing w:line="360" w:lineRule="auto"/>
        <w:rPr>
          <w:rFonts w:hint="eastAsia" w:ascii="宋体" w:hAnsi="宋体"/>
          <w:bCs/>
          <w:szCs w:val="21"/>
          <w:highlight w:val="none"/>
        </w:rPr>
        <w:outlineLvl w:val="9"/>
      </w:pPr>
      <w:r>
        <w:rPr>
          <w:rFonts w:hint="eastAsia" w:ascii="宋体" w:hAnsi="宋体"/>
          <w:bCs/>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t xml:space="preserve">投标人名称（盖章）：</w:t>
      </w:r>
      <w:r>
        <w:rPr>
          <w:rFonts w:hint="eastAsia" w:ascii="Arial" w:hAnsi="Arial" w:cs="Arial"/>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t xml:space="preserve">法定代表人或法定代表人授权代表签字或盖章：</w:t>
      </w:r>
      <w:r>
        <w:rPr>
          <w:rFonts w:hint="eastAsia" w:ascii="Arial" w:hAnsi="Arial" w:cs="Arial"/>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r>
      <w:r/>
    </w:p>
    <w:p>
      <w:pPr>
        <w:pStyle w:val="842"/>
        <w:spacing w:line="360" w:lineRule="auto"/>
        <w:rPr>
          <w:rFonts w:hint="eastAsia" w:ascii="Arial" w:hAnsi="Arial" w:cs="Arial"/>
          <w:szCs w:val="21"/>
          <w:highlight w:val="none"/>
        </w:rPr>
      </w:pPr>
      <w:r>
        <w:rPr>
          <w:rFonts w:hint="eastAsia" w:ascii="Arial" w:hAnsi="Arial" w:cs="Arial"/>
          <w:szCs w:val="21"/>
          <w:highlight w:val="none"/>
        </w:rPr>
        <w:t xml:space="preserve">日期：</w:t>
      </w:r>
      <w:r>
        <w:rPr>
          <w:rFonts w:hint="eastAsia" w:ascii="Arial" w:hAnsi="Arial" w:cs="Arial"/>
          <w:szCs w:val="21"/>
          <w:highlight w:val="none"/>
        </w:rPr>
      </w:r>
      <w:r/>
    </w:p>
    <w:p>
      <w:pPr>
        <w:pStyle w:val="842"/>
        <w:ind w:firstLine="480"/>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pStyle w:val="842"/>
        <w:spacing w:line="440" w:lineRule="exact"/>
        <w:rPr>
          <w:rFonts w:hint="eastAsia" w:ascii="宋体" w:hAnsi="宋体" w:cs="宋体"/>
          <w:color w:val="000000"/>
          <w:szCs w:val="21"/>
          <w:highlight w:val="none"/>
        </w:rPr>
      </w:pPr>
      <w:r>
        <w:rPr>
          <w:rFonts w:hint="eastAsia" w:ascii="宋体" w:hAnsi="宋体" w:cs="宋体"/>
          <w:bCs/>
          <w:szCs w:val="21"/>
          <w:highlight w:val="none"/>
        </w:rPr>
        <w:t xml:space="preserve">注：</w:t>
      </w:r>
      <w:r>
        <w:rPr>
          <w:rFonts w:hint="eastAsia" w:ascii="宋体" w:hAnsi="宋体" w:cs="宋体"/>
          <w:color w:val="000000"/>
          <w:szCs w:val="21"/>
          <w:highlight w:val="none"/>
        </w:rPr>
        <w:t xml:space="preserve">1、</w:t>
      </w:r>
      <w:r>
        <w:rPr>
          <w:rFonts w:hint="eastAsia" w:ascii="宋体" w:hAnsi="宋体" w:cs="宋体"/>
          <w:szCs w:val="21"/>
          <w:highlight w:val="none"/>
        </w:rPr>
        <w:t xml:space="preserve">投标人应对招标文件《</w:t>
      </w:r>
      <w:r>
        <w:rPr>
          <w:rFonts w:hint="eastAsia" w:ascii="宋体" w:hAnsi="宋体" w:cs="宋体"/>
          <w:szCs w:val="21"/>
          <w:highlight w:val="none"/>
          <w:lang w:eastAsia="zh-CN"/>
        </w:rPr>
        <w:t xml:space="preserve">采购需求</w:t>
      </w:r>
      <w:r>
        <w:rPr>
          <w:rFonts w:hint="eastAsia" w:ascii="宋体" w:hAnsi="宋体" w:cs="宋体"/>
          <w:szCs w:val="21"/>
          <w:highlight w:val="none"/>
        </w:rPr>
        <w:t xml:space="preserve">》技术要求”的内容给予逐条响应，若漏项或不逐条应答视为负偏离。</w:t>
      </w:r>
      <w:r>
        <w:rPr>
          <w:rFonts w:hint="eastAsia" w:ascii="宋体" w:hAnsi="宋体" w:cs="宋体"/>
          <w:color w:val="000000"/>
          <w:szCs w:val="21"/>
          <w:highlight w:val="none"/>
        </w:rPr>
      </w:r>
      <w:r/>
    </w:p>
    <w:p>
      <w:pPr>
        <w:pStyle w:val="842"/>
        <w:ind w:firstLine="420"/>
        <w:spacing w:line="440" w:lineRule="exact"/>
        <w:rPr>
          <w:rFonts w:ascii="宋体" w:hAnsi="宋体" w:cs="宋体"/>
          <w:szCs w:val="21"/>
          <w:highlight w:val="none"/>
        </w:rPr>
      </w:pPr>
      <w:r>
        <w:rPr>
          <w:rFonts w:hint="eastAsia" w:ascii="宋体" w:hAnsi="宋体" w:cs="宋体"/>
          <w:szCs w:val="21"/>
          <w:highlight w:val="none"/>
        </w:rPr>
        <w:t xml:space="preserve">2、“偏离/响应”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rPr>
          <w:rFonts w:ascii="宋体" w:hAnsi="宋体" w:cs="宋体"/>
          <w:szCs w:val="21"/>
          <w:highlight w:val="none"/>
        </w:rPr>
      </w:r>
      <w:r/>
    </w:p>
    <w:p>
      <w:pPr>
        <w:pStyle w:val="84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rPr>
          <w:rFonts w:hint="eastAsia" w:ascii="宋体" w:hAnsi="宋体" w:cs="宋体"/>
          <w:color w:val="000000"/>
          <w:szCs w:val="21"/>
          <w:highlight w:val="none"/>
        </w:rPr>
      </w:r>
      <w:r/>
    </w:p>
    <w:p>
      <w:pPr>
        <w:pStyle w:val="842"/>
        <w:spacing w:line="360" w:lineRule="auto"/>
        <w:rPr>
          <w:rFonts w:hint="eastAsia" w:ascii="宋体" w:hAnsi="宋体" w:cs="宋体"/>
          <w:bCs/>
          <w:szCs w:val="21"/>
          <w:highlight w:val="none"/>
        </w:rPr>
        <w:outlineLvl w:val="9"/>
      </w:pPr>
      <w:r>
        <w:rPr>
          <w:rFonts w:hint="eastAsia" w:ascii="宋体" w:hAnsi="宋体" w:cs="宋体"/>
          <w:bCs/>
          <w:szCs w:val="21"/>
          <w:highlight w:val="none"/>
        </w:rPr>
      </w:r>
      <w:r/>
    </w:p>
    <w:p>
      <w:pPr>
        <w:pStyle w:val="842"/>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pStyle w:val="842"/>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pStyle w:val="842"/>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pStyle w:val="842"/>
        <w:rPr>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）中小企业声明函（格式）：</w:t>
      </w:r>
      <w:r>
        <w:rPr>
          <w:highlight w:val="none"/>
        </w:rPr>
      </w:r>
      <w:r/>
    </w:p>
    <w:p>
      <w:pPr>
        <w:pStyle w:val="842"/>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pStyle w:val="842"/>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中小企业声明函（货物）</w:t>
      </w:r>
      <w:r>
        <w:rPr>
          <w:rFonts w:hint="eastAsia" w:ascii="宋体" w:hAnsi="宋体" w:cs="宋体"/>
          <w:b/>
          <w:sz w:val="36"/>
          <w:szCs w:val="28"/>
          <w:highlight w:val="none"/>
        </w:rPr>
      </w:r>
      <w:r/>
    </w:p>
    <w:p>
      <w:pPr>
        <w:pStyle w:val="84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本公司（联合体）郑重声明，根据《政府采购促进中小企业发展管理办法》（财库﹝2020﹞46 号）的规定，本公司 （联合体）参加</w:t>
      </w:r>
      <w:r>
        <w:rPr>
          <w:rFonts w:hint="eastAsia" w:ascii="宋体" w:hAnsi="宋体" w:cs="宋体"/>
          <w:bCs/>
          <w:szCs w:val="21"/>
          <w:highlight w:val="none"/>
          <w:u w:val="single"/>
        </w:rPr>
        <w:t xml:space="preserve">（单位名称）</w:t>
      </w:r>
      <w:r>
        <w:rPr>
          <w:rFonts w:hint="eastAsia" w:ascii="宋体" w:hAnsi="宋体" w:cs="宋体"/>
          <w:bCs/>
          <w:szCs w:val="21"/>
          <w:highlight w:val="none"/>
        </w:rPr>
        <w:t xml:space="preserve">的</w:t>
      </w:r>
      <w:r>
        <w:rPr>
          <w:rFonts w:hint="eastAsia" w:ascii="宋体" w:hAnsi="宋体" w:cs="宋体"/>
          <w:bCs/>
          <w:szCs w:val="21"/>
          <w:highlight w:val="none"/>
          <w:u w:val="single"/>
        </w:rPr>
        <w:t xml:space="preserve">（项目名称）</w:t>
      </w:r>
      <w:r>
        <w:rPr>
          <w:rFonts w:hint="eastAsia" w:ascii="宋体" w:hAnsi="宋体" w:cs="宋体"/>
          <w:bCs/>
          <w:szCs w:val="21"/>
          <w:highlight w:val="none"/>
        </w:rPr>
        <w:t xml:space="preserve">采购活动，提供的货物全部由符合政策要求的中小企业制造。相关企业 （含联合体中的中小企业、签订分包意向协议的中小企业）的具体情况如下：</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w:t>
      </w:r>
      <w:r>
        <w:rPr>
          <w:rFonts w:hint="eastAsia" w:ascii="宋体" w:hAnsi="宋体" w:cs="宋体"/>
          <w:bCs/>
          <w:szCs w:val="21"/>
          <w:highlight w:val="none"/>
          <w:u w:val="single"/>
        </w:rPr>
        <w:t xml:space="preserve">（标的名称）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bCs/>
          <w:szCs w:val="21"/>
          <w:highlight w:val="none"/>
        </w:rPr>
      </w:r>
      <w:r/>
    </w:p>
    <w:p>
      <w:pPr>
        <w:pStyle w:val="842"/>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42"/>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企业名称（盖章）：</w:t>
      </w:r>
      <w:r>
        <w:rPr>
          <w:rFonts w:hint="eastAsia" w:ascii="宋体" w:hAnsi="宋体" w:cs="宋体"/>
          <w:bCs/>
          <w:szCs w:val="21"/>
          <w:highlight w:val="none"/>
        </w:rPr>
      </w:r>
      <w:r/>
    </w:p>
    <w:p>
      <w:pPr>
        <w:pStyle w:val="842"/>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rPr>
          <w:rFonts w:hint="eastAsia" w:ascii="宋体" w:hAnsi="宋体" w:cs="宋体"/>
          <w:bCs/>
          <w:szCs w:val="21"/>
          <w:highlight w:val="none"/>
        </w:rPr>
      </w:r>
      <w:r/>
    </w:p>
    <w:p>
      <w:pPr>
        <w:pStyle w:val="842"/>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42"/>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42"/>
        <w:spacing w:line="360" w:lineRule="auto"/>
        <w:rPr>
          <w:rFonts w:hint="eastAsia" w:ascii="宋体" w:hAnsi="宋体" w:cs="宋体"/>
          <w:bCs/>
          <w:szCs w:val="21"/>
          <w:highlight w:val="none"/>
        </w:rPr>
      </w:pPr>
      <w:r>
        <w:rPr>
          <w:rFonts w:hint="eastAsia" w:ascii="宋体" w:hAnsi="宋体" w:cs="宋体"/>
          <w:bCs/>
          <w:szCs w:val="21"/>
          <w:highlight w:val="none"/>
        </w:rPr>
        <w:t xml:space="preserve">注：</w:t>
      </w:r>
      <w:r>
        <w:rPr>
          <w:rFonts w:hint="eastAsia" w:ascii="宋体" w:hAnsi="宋体" w:cs="宋体"/>
          <w:bCs/>
          <w:szCs w:val="21"/>
          <w:highlight w:val="none"/>
        </w:rPr>
      </w:r>
      <w:r/>
    </w:p>
    <w:p>
      <w:pPr>
        <w:pStyle w:val="842"/>
        <w:spacing w:line="360" w:lineRule="auto"/>
        <w:rPr>
          <w:rFonts w:hint="eastAsia" w:ascii="宋体" w:hAnsi="宋体" w:cs="宋体"/>
          <w:bCs/>
          <w:szCs w:val="21"/>
          <w:highlight w:val="none"/>
        </w:rPr>
      </w:pPr>
      <w:r>
        <w:rPr>
          <w:rFonts w:hint="eastAsia" w:ascii="宋体" w:hAnsi="宋体" w:cs="宋体"/>
          <w:bCs/>
          <w:szCs w:val="21"/>
          <w:highlight w:val="none"/>
        </w:rPr>
        <w:t xml:space="preserve">1.从业人员、营业收入、资产总额填报上一年度数据，无上一年度数据的新成立企业可不填报。</w:t>
      </w:r>
      <w:r>
        <w:rPr>
          <w:rFonts w:hint="eastAsia" w:ascii="宋体" w:hAnsi="宋体" w:cs="宋体"/>
          <w:bCs/>
          <w:szCs w:val="21"/>
          <w:highlight w:val="none"/>
        </w:rPr>
      </w:r>
      <w:r/>
    </w:p>
    <w:p>
      <w:pPr>
        <w:pStyle w:val="842"/>
        <w:spacing w:line="360" w:lineRule="auto"/>
        <w:rPr>
          <w:rFonts w:hint="eastAsia" w:ascii="宋体" w:hAnsi="宋体" w:cs="宋体"/>
          <w:bCs/>
          <w:szCs w:val="21"/>
          <w:highlight w:val="none"/>
        </w:rPr>
      </w:pPr>
      <w:r>
        <w:rPr>
          <w:rFonts w:hint="eastAsia" w:ascii="宋体" w:hAnsi="宋体" w:cs="宋体"/>
          <w:bCs/>
          <w:szCs w:val="21"/>
          <w:highlight w:val="none"/>
        </w:rPr>
        <w:t xml:space="preserve">2.在货物采购项目中，供应商提供的货物既有中小企业制造货物，也有大型企业制造或物的，不享受本办法规定的中小企业扶持政策。</w:t>
      </w:r>
      <w:r>
        <w:rPr>
          <w:rFonts w:hint="eastAsia" w:ascii="宋体" w:hAnsi="宋体" w:cs="宋体"/>
          <w:bCs/>
          <w:szCs w:val="21"/>
          <w:highlight w:val="none"/>
        </w:rPr>
      </w:r>
      <w:r/>
    </w:p>
    <w:p>
      <w:pPr>
        <w:pStyle w:val="842"/>
        <w:spacing w:line="360" w:lineRule="auto"/>
        <w:rPr>
          <w:rFonts w:hint="eastAsia" w:ascii="宋体" w:hAnsi="宋体" w:cs="宋体"/>
          <w:bCs/>
          <w:szCs w:val="21"/>
          <w:highlight w:val="none"/>
        </w:rPr>
      </w:pPr>
      <w:r>
        <w:rPr>
          <w:rFonts w:hint="eastAsia" w:ascii="宋体" w:hAnsi="宋体" w:cs="宋体"/>
          <w:bCs/>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bCs/>
          <w:szCs w:val="21"/>
          <w:highlight w:val="none"/>
        </w:rPr>
      </w:r>
      <w:r/>
    </w:p>
    <w:p>
      <w:pPr>
        <w:pStyle w:val="842"/>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）残疾人福利性单位声明函（格式）：</w:t>
      </w:r>
      <w:r>
        <w:rPr>
          <w:szCs w:val="21"/>
          <w:highlight w:val="none"/>
        </w:rPr>
      </w:r>
      <w:r/>
    </w:p>
    <w:p>
      <w:pPr>
        <w:pStyle w:val="842"/>
        <w:spacing w:line="588" w:lineRule="exact"/>
        <w:rPr>
          <w:rFonts w:hint="eastAsia" w:ascii="仿宋_GB2312" w:eastAsia="仿宋_GB2312"/>
          <w:b/>
          <w:spacing w:val="6"/>
          <w:sz w:val="30"/>
          <w:szCs w:val="30"/>
          <w:highlight w:val="none"/>
        </w:rPr>
      </w:pPr>
      <w:r>
        <w:rPr>
          <w:rFonts w:hint="eastAsia" w:ascii="仿宋_GB2312" w:eastAsia="仿宋_GB2312"/>
          <w:b/>
          <w:spacing w:val="6"/>
          <w:sz w:val="30"/>
          <w:szCs w:val="30"/>
          <w:highlight w:val="none"/>
        </w:rPr>
      </w:r>
      <w:r/>
    </w:p>
    <w:p>
      <w:pPr>
        <w:pStyle w:val="842"/>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残疾人福利性单位声明函</w:t>
      </w:r>
      <w:r>
        <w:rPr>
          <w:rFonts w:hint="eastAsia" w:ascii="宋体" w:hAnsi="宋体" w:cs="宋体"/>
          <w:b/>
          <w:sz w:val="36"/>
          <w:szCs w:val="28"/>
          <w:highlight w:val="none"/>
        </w:rPr>
      </w:r>
      <w:r/>
    </w:p>
    <w:p>
      <w:pPr>
        <w:pStyle w:val="842"/>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42"/>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842"/>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单位名称（盖章）：</w:t>
      </w:r>
      <w:r>
        <w:rPr>
          <w:rFonts w:hint="eastAsia" w:ascii="宋体" w:hAnsi="宋体" w:cs="宋体"/>
          <w:bCs/>
          <w:szCs w:val="21"/>
          <w:highlight w:val="none"/>
        </w:rPr>
      </w:r>
      <w:r/>
    </w:p>
    <w:p>
      <w:pPr>
        <w:pStyle w:val="842"/>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rPr>
          <w:rFonts w:hint="eastAsia" w:ascii="宋体" w:hAnsi="宋体" w:cs="宋体"/>
          <w:bCs/>
          <w:szCs w:val="21"/>
          <w:highlight w:val="none"/>
        </w:rPr>
      </w:r>
      <w:r/>
    </w:p>
    <w:p>
      <w:pPr>
        <w:pStyle w:val="842"/>
        <w:ind w:left="120"/>
        <w:spacing w:line="360" w:lineRule="auto"/>
        <w:rPr>
          <w:rFonts w:hint="eastAsia" w:ascii="宋体" w:hAnsi="宋体" w:eastAsia="宋体"/>
          <w:sz w:val="32"/>
          <w:szCs w:val="32"/>
          <w:highlight w:val="none"/>
        </w:rPr>
      </w:pPr>
      <w:r>
        <w:rPr>
          <w:rFonts w:hint="eastAsia" w:ascii="宋体" w:hAnsi="宋体" w:cs="宋体"/>
          <w:bCs/>
          <w:szCs w:val="21"/>
          <w:highlight w:val="none"/>
        </w:rPr>
        <w:br w:type="page" w:clear="all"/>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en-US" w:eastAsia="zh-CN"/>
        </w:rPr>
        <w:t xml:space="preserve">九</w:t>
      </w:r>
      <w:r>
        <w:rPr>
          <w:rFonts w:hint="eastAsia" w:ascii="宋体" w:hAnsi="宋体" w:eastAsia="宋体" w:cs="宋体"/>
          <w:b/>
          <w:szCs w:val="21"/>
          <w:highlight w:val="none"/>
        </w:rPr>
        <w:t xml:space="preserve">）关于符合本国产品标准的声明函（采购包号：**）</w:t>
      </w:r>
      <w:r>
        <w:rPr>
          <w:rFonts w:hint="eastAsia" w:ascii="宋体" w:hAnsi="宋体" w:eastAsia="宋体"/>
          <w:sz w:val="32"/>
          <w:szCs w:val="32"/>
          <w:highlight w:val="none"/>
        </w:rPr>
      </w:r>
      <w:r/>
    </w:p>
    <w:p>
      <w:pPr>
        <w:pStyle w:val="887"/>
        <w:ind w:firstLine="420"/>
        <w:spacing w:before="0" w:beforeAutospacing="0" w:after="0" w:afterAutospacing="0" w:line="0" w:lineRule="atLeast"/>
        <w:rPr>
          <w:rFonts w:hint="eastAsia"/>
          <w:highlight w:val="none"/>
        </w:rPr>
      </w:pPr>
      <w:r>
        <w:rPr>
          <w:rFonts w:hint="eastAsia"/>
          <w:highlight w:val="none"/>
        </w:rPr>
      </w:r>
      <w:r/>
    </w:p>
    <w:p>
      <w:pPr>
        <w:pStyle w:val="887"/>
        <w:ind w:firstLine="420"/>
        <w:spacing w:before="0" w:beforeAutospacing="0" w:after="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highlight w:val="none"/>
        </w:rPr>
      </w:r>
      <w:r/>
    </w:p>
    <w:p>
      <w:pPr>
        <w:pStyle w:val="887"/>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1.</w:t>
      </w:r>
      <w:r>
        <w:rPr>
          <w:rStyle w:val="895"/>
          <w:rFonts w:hint="eastAsia" w:ascii="宋体" w:hAnsi="宋体" w:eastAsia="宋体" w:cs="宋体"/>
          <w:highlight w:val="none"/>
          <w:u w:val="single"/>
          <w:shd w:val="clear" w:color="auto" w:fill="ffffff"/>
        </w:rPr>
        <w:t xml:space="preserve">（产品名称1）</w:t>
      </w:r>
      <w:r>
        <w:rPr>
          <w:rStyle w:val="895"/>
          <w:rFonts w:hint="eastAsia" w:ascii="宋体" w:hAnsi="宋体" w:eastAsia="宋体" w:cs="宋体"/>
          <w:highlight w:val="none"/>
          <w:shd w:val="clear" w:color="auto" w:fill="ffffff"/>
          <w:vertAlign w:val="superscript"/>
        </w:rPr>
        <w:t xml:space="preserve">1</w:t>
      </w:r>
      <w:r>
        <w:rPr>
          <w:rFonts w:hint="eastAsia" w:ascii="宋体" w:hAnsi="宋体" w:eastAsia="宋体" w:cs="宋体"/>
          <w:highlight w:val="none"/>
          <w:shd w:val="clear" w:color="auto" w:fill="ffffff"/>
        </w:rPr>
        <w:t xml:space="preserve">，生产厂为</w:t>
      </w:r>
      <w:r>
        <w:rPr>
          <w:rStyle w:val="895"/>
          <w:rFonts w:hint="eastAsia" w:ascii="宋体" w:hAnsi="宋体" w:eastAsia="宋体" w:cs="宋体"/>
          <w:highlight w:val="none"/>
          <w:u w:val="single"/>
          <w:shd w:val="clear" w:color="auto" w:fill="ffffff"/>
        </w:rPr>
        <w:t xml:space="preserve">（厂名）</w:t>
      </w:r>
      <w:r>
        <w:rPr>
          <w:rStyle w:val="895"/>
          <w:rFonts w:hint="eastAsia" w:ascii="宋体" w:hAnsi="宋体" w:eastAsia="宋体" w:cs="宋体"/>
          <w:highlight w:val="none"/>
          <w:shd w:val="clear" w:color="auto" w:fill="ffffff"/>
          <w:vertAlign w:val="superscript"/>
        </w:rPr>
        <w:t xml:space="preserve">2</w:t>
      </w:r>
      <w:r>
        <w:rPr>
          <w:rFonts w:hint="eastAsia" w:ascii="宋体" w:hAnsi="宋体" w:eastAsia="宋体" w:cs="宋体"/>
          <w:highlight w:val="none"/>
          <w:shd w:val="clear" w:color="auto" w:fill="ffffff"/>
        </w:rPr>
        <w:t xml:space="preserve">，厂址为</w:t>
      </w:r>
      <w:r>
        <w:rPr>
          <w:rStyle w:val="895"/>
          <w:rFonts w:hint="eastAsia" w:ascii="宋体" w:hAnsi="宋体" w:eastAsia="宋体" w:cs="宋体"/>
          <w:highlight w:val="none"/>
          <w:u w:val="single"/>
          <w:shd w:val="clear" w:color="auto" w:fill="ffffff"/>
        </w:rPr>
        <w:t xml:space="preserve">（生产厂址）</w:t>
      </w:r>
      <w:r>
        <w:rPr>
          <w:rFonts w:hint="eastAsia" w:ascii="宋体" w:hAnsi="宋体" w:eastAsia="宋体" w:cs="宋体"/>
          <w:highlight w:val="none"/>
          <w:shd w:val="clear" w:color="auto" w:fill="ffffff"/>
        </w:rPr>
        <w:t xml:space="preserve">。</w:t>
      </w:r>
      <w:r>
        <w:rPr>
          <w:rFonts w:hint="eastAsia" w:ascii="宋体" w:hAnsi="宋体" w:eastAsia="宋体" w:cs="宋体"/>
          <w:highlight w:val="none"/>
          <w:u w:val="single"/>
          <w:shd w:val="clear" w:color="auto" w:fill="ffffff"/>
        </w:rPr>
        <w:t xml:space="preserve"> </w:t>
      </w:r>
      <w:r>
        <w:rPr>
          <w:rStyle w:val="895"/>
          <w:rFonts w:hint="eastAsia" w:ascii="宋体" w:hAnsi="宋体" w:eastAsia="宋体" w:cs="宋体"/>
          <w:highlight w:val="none"/>
          <w:u w:val="single"/>
          <w:shd w:val="clear" w:color="auto" w:fill="ffffff"/>
        </w:rPr>
        <w:t xml:space="preserve">（产品名称1） </w:t>
      </w:r>
      <w:r>
        <w:rPr>
          <w:rFonts w:hint="eastAsia" w:ascii="宋体" w:hAnsi="宋体" w:eastAsia="宋体" w:cs="宋体"/>
          <w:highlight w:val="none"/>
          <w:shd w:val="clear" w:color="auto" w:fill="ffffff"/>
        </w:rPr>
        <w:t xml:space="preserve">的中国境内生产的组件成本占比≥</w:t>
      </w:r>
      <w:r>
        <w:rPr>
          <w:rStyle w:val="895"/>
          <w:rFonts w:hint="eastAsia" w:ascii="宋体" w:hAnsi="宋体" w:eastAsia="宋体" w:cs="宋体"/>
          <w:strike/>
          <w:highlight w:val="none"/>
          <w:u w:val="single"/>
          <w:shd w:val="clear" w:color="auto" w:fill="ffffff"/>
        </w:rPr>
        <w:t xml:space="preserve">（规定比例）</w:t>
      </w:r>
      <w:r>
        <w:rPr>
          <w:rStyle w:val="895"/>
          <w:rFonts w:hint="eastAsia" w:ascii="宋体" w:hAnsi="宋体" w:eastAsia="宋体" w:cs="宋体"/>
          <w:strike/>
          <w:highlight w:val="none"/>
          <w:shd w:val="clear" w:color="auto" w:fill="ffffff"/>
          <w:vertAlign w:val="superscript"/>
        </w:rPr>
        <w:t xml:space="preserve">3</w:t>
      </w:r>
      <w:r>
        <w:rPr>
          <w:rFonts w:hint="eastAsia" w:ascii="宋体" w:hAnsi="宋体" w:eastAsia="宋体" w:cs="宋体"/>
          <w:strike/>
          <w:highlight w:val="none"/>
          <w:shd w:val="clear" w:color="auto" w:fill="ffffff"/>
        </w:rPr>
        <w:t xml:space="preserve">。</w:t>
      </w:r>
      <w:r>
        <w:rPr>
          <w:rStyle w:val="895"/>
          <w:rFonts w:hint="eastAsia" w:ascii="宋体" w:hAnsi="宋体" w:eastAsia="宋体" w:cs="宋体"/>
          <w:strike/>
          <w:highlight w:val="none"/>
          <w:u w:val="single"/>
          <w:shd w:val="clear" w:color="auto" w:fill="ffffff"/>
        </w:rPr>
        <w:t xml:space="preserve">（产品名称1）</w:t>
      </w:r>
      <w:r>
        <w:rPr>
          <w:rFonts w:hint="eastAsia" w:ascii="宋体" w:hAnsi="宋体" w:eastAsia="宋体" w:cs="宋体"/>
          <w:highlight w:val="none"/>
          <w:shd w:val="clear" w:color="auto" w:fill="ffffff"/>
        </w:rPr>
        <w:t xml:space="preserve">的</w:t>
      </w:r>
      <w:r>
        <w:rPr>
          <w:rStyle w:val="895"/>
          <w:rFonts w:hint="eastAsia" w:ascii="宋体" w:hAnsi="宋体" w:eastAsia="宋体" w:cs="宋体"/>
          <w:strike/>
          <w:highlight w:val="none"/>
          <w:u w:val="single"/>
          <w:shd w:val="clear" w:color="auto" w:fill="ffffff"/>
        </w:rPr>
        <w:t xml:space="preserve">（关键组件）</w:t>
      </w:r>
      <w:r>
        <w:rPr>
          <w:rStyle w:val="895"/>
          <w:rFonts w:hint="eastAsia" w:ascii="宋体" w:hAnsi="宋体" w:eastAsia="宋体" w:cs="宋体"/>
          <w:strike/>
          <w:highlight w:val="none"/>
          <w:shd w:val="clear" w:color="auto" w:fill="ffffff"/>
          <w:vertAlign w:val="superscript"/>
        </w:rPr>
        <w:t xml:space="preserve">4</w:t>
      </w:r>
      <w:r>
        <w:rPr>
          <w:rFonts w:hint="eastAsia" w:ascii="宋体" w:hAnsi="宋体" w:eastAsia="宋体" w:cs="宋体"/>
          <w:highlight w:val="none"/>
          <w:shd w:val="clear" w:color="auto" w:fill="ffffff"/>
        </w:rPr>
        <w:t xml:space="preserve">在中国境内生产。</w:t>
      </w:r>
      <w:r>
        <w:rPr>
          <w:rStyle w:val="895"/>
          <w:rFonts w:hint="eastAsia" w:ascii="宋体" w:hAnsi="宋体" w:eastAsia="宋体" w:cs="宋体"/>
          <w:strike/>
          <w:highlight w:val="none"/>
          <w:u w:val="single"/>
          <w:shd w:val="clear" w:color="auto" w:fill="ffffff"/>
        </w:rPr>
        <w:t xml:space="preserve">（产品名称1）</w:t>
      </w:r>
      <w:r>
        <w:rPr>
          <w:rFonts w:hint="eastAsia" w:ascii="宋体" w:hAnsi="宋体" w:eastAsia="宋体" w:cs="宋体"/>
          <w:strike/>
          <w:highlight w:val="none"/>
          <w:shd w:val="clear" w:color="auto" w:fill="ffffff"/>
        </w:rPr>
        <w:t xml:space="preserve">的</w:t>
      </w:r>
      <w:r>
        <w:rPr>
          <w:rStyle w:val="895"/>
          <w:rFonts w:hint="eastAsia" w:ascii="宋体" w:hAnsi="宋体" w:eastAsia="宋体" w:cs="宋体"/>
          <w:strike/>
          <w:highlight w:val="none"/>
          <w:u w:val="single"/>
          <w:shd w:val="clear" w:color="auto" w:fill="ffffff"/>
        </w:rPr>
        <w:t xml:space="preserve">（关键工序）</w:t>
      </w:r>
      <w:r>
        <w:rPr>
          <w:rStyle w:val="895"/>
          <w:rFonts w:hint="eastAsia" w:ascii="宋体" w:hAnsi="宋体" w:eastAsia="宋体" w:cs="宋体"/>
          <w:strike/>
          <w:highlight w:val="none"/>
          <w:shd w:val="clear" w:color="auto" w:fill="ffffff"/>
          <w:vertAlign w:val="superscript"/>
        </w:rPr>
        <w:t xml:space="preserve">5</w:t>
      </w:r>
      <w:r>
        <w:rPr>
          <w:rFonts w:hint="eastAsia" w:ascii="宋体" w:hAnsi="宋体" w:eastAsia="宋体" w:cs="宋体"/>
          <w:highlight w:val="none"/>
          <w:shd w:val="clear" w:color="auto" w:fill="ffffff"/>
        </w:rPr>
        <w:t xml:space="preserve">在中国境内完成。</w:t>
      </w:r>
      <w:r>
        <w:rPr>
          <w:rFonts w:hint="eastAsia" w:ascii="宋体" w:hAnsi="宋体" w:eastAsia="宋体" w:cs="宋体"/>
          <w:highlight w:val="none"/>
        </w:rPr>
      </w:r>
      <w:r/>
    </w:p>
    <w:p>
      <w:pPr>
        <w:pStyle w:val="887"/>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2.</w:t>
      </w:r>
      <w:r>
        <w:rPr>
          <w:rStyle w:val="895"/>
          <w:rFonts w:hint="eastAsia" w:ascii="宋体" w:hAnsi="宋体" w:eastAsia="宋体" w:cs="宋体"/>
          <w:highlight w:val="none"/>
          <w:u w:val="single"/>
          <w:shd w:val="clear" w:color="auto" w:fill="ffffff"/>
        </w:rPr>
        <w:t xml:space="preserve">（产品名称2）</w:t>
      </w:r>
      <w:r>
        <w:rPr>
          <w:rFonts w:hint="eastAsia" w:ascii="宋体" w:hAnsi="宋体" w:eastAsia="宋体" w:cs="宋体"/>
          <w:highlight w:val="none"/>
          <w:shd w:val="clear" w:color="auto" w:fill="ffffff"/>
        </w:rPr>
        <w:t xml:space="preserve">，生产厂为</w:t>
      </w:r>
      <w:r>
        <w:rPr>
          <w:rStyle w:val="895"/>
          <w:rFonts w:hint="eastAsia" w:ascii="宋体" w:hAnsi="宋体" w:eastAsia="宋体" w:cs="宋体"/>
          <w:highlight w:val="none"/>
          <w:u w:val="single"/>
          <w:shd w:val="clear" w:color="auto" w:fill="ffffff"/>
        </w:rPr>
        <w:t xml:space="preserve">（厂名）</w:t>
      </w:r>
      <w:r>
        <w:rPr>
          <w:rFonts w:hint="eastAsia" w:ascii="宋体" w:hAnsi="宋体" w:eastAsia="宋体" w:cs="宋体"/>
          <w:highlight w:val="none"/>
          <w:shd w:val="clear" w:color="auto" w:fill="ffffff"/>
        </w:rPr>
        <w:t xml:space="preserve">，厂址为</w:t>
      </w:r>
      <w:r>
        <w:rPr>
          <w:rStyle w:val="895"/>
          <w:rFonts w:hint="eastAsia" w:ascii="宋体" w:hAnsi="宋体" w:eastAsia="宋体" w:cs="宋体"/>
          <w:highlight w:val="none"/>
          <w:u w:val="single"/>
          <w:shd w:val="clear" w:color="auto" w:fill="ffffff"/>
        </w:rPr>
        <w:t xml:space="preserve">（生产厂址）</w:t>
      </w:r>
      <w:r>
        <w:rPr>
          <w:rFonts w:hint="eastAsia" w:ascii="宋体" w:hAnsi="宋体" w:eastAsia="宋体" w:cs="宋体"/>
          <w:highlight w:val="none"/>
          <w:shd w:val="clear" w:color="auto" w:fill="ffffff"/>
        </w:rPr>
        <w:t xml:space="preserve">。</w:t>
      </w:r>
      <w:r>
        <w:rPr>
          <w:rStyle w:val="895"/>
          <w:rFonts w:hint="eastAsia" w:ascii="宋体" w:hAnsi="宋体" w:eastAsia="宋体" w:cs="宋体"/>
          <w:highlight w:val="none"/>
          <w:u w:val="single"/>
          <w:shd w:val="clear" w:color="auto" w:fill="ffffff"/>
        </w:rPr>
        <w:t xml:space="preserve">（产品名称2）</w:t>
      </w:r>
      <w:r>
        <w:rPr>
          <w:rFonts w:hint="eastAsia" w:ascii="宋体" w:hAnsi="宋体" w:eastAsia="宋体" w:cs="宋体"/>
          <w:highlight w:val="none"/>
          <w:shd w:val="clear" w:color="auto" w:fill="ffffff"/>
        </w:rPr>
        <w:t xml:space="preserve">的中国境内生产的组件成本占比≥</w:t>
      </w:r>
      <w:r>
        <w:rPr>
          <w:rStyle w:val="895"/>
          <w:rFonts w:hint="eastAsia" w:ascii="宋体" w:hAnsi="宋体" w:eastAsia="宋体" w:cs="宋体"/>
          <w:strike/>
          <w:highlight w:val="none"/>
          <w:u w:val="single"/>
          <w:shd w:val="clear" w:color="auto" w:fill="ffffff"/>
        </w:rPr>
        <w:t xml:space="preserve">（规定比例）</w:t>
      </w:r>
      <w:r>
        <w:rPr>
          <w:rFonts w:hint="eastAsia" w:ascii="宋体" w:hAnsi="宋体" w:eastAsia="宋体" w:cs="宋体"/>
          <w:strike/>
          <w:highlight w:val="none"/>
          <w:shd w:val="clear" w:color="auto" w:fill="ffffff"/>
        </w:rPr>
        <w:t xml:space="preserve">。</w:t>
      </w:r>
      <w:r>
        <w:rPr>
          <w:rStyle w:val="895"/>
          <w:rFonts w:hint="eastAsia" w:ascii="宋体" w:hAnsi="宋体" w:eastAsia="宋体" w:cs="宋体"/>
          <w:strike/>
          <w:highlight w:val="none"/>
          <w:u w:val="single"/>
          <w:shd w:val="clear" w:color="auto" w:fill="ffffff"/>
        </w:rPr>
        <w:t xml:space="preserve">（产品名称2）</w:t>
      </w:r>
      <w:r>
        <w:rPr>
          <w:rFonts w:hint="eastAsia" w:ascii="宋体" w:hAnsi="宋体" w:eastAsia="宋体" w:cs="宋体"/>
          <w:strike/>
          <w:highlight w:val="none"/>
          <w:shd w:val="clear" w:color="auto" w:fill="ffffff"/>
        </w:rPr>
        <w:t xml:space="preserve">的</w:t>
      </w:r>
      <w:r>
        <w:rPr>
          <w:rStyle w:val="895"/>
          <w:rFonts w:hint="eastAsia" w:ascii="宋体" w:hAnsi="宋体" w:eastAsia="宋体" w:cs="宋体"/>
          <w:strike/>
          <w:highlight w:val="none"/>
          <w:u w:val="single"/>
          <w:shd w:val="clear" w:color="auto" w:fill="ffffff"/>
        </w:rPr>
        <w:t xml:space="preserve">（关键组件</w:t>
      </w:r>
      <w:r>
        <w:rPr>
          <w:rStyle w:val="895"/>
          <w:rFonts w:hint="eastAsia" w:ascii="宋体" w:hAnsi="宋体" w:eastAsia="宋体" w:cs="宋体"/>
          <w:highlight w:val="none"/>
          <w:u w:val="single"/>
          <w:shd w:val="clear" w:color="auto" w:fill="ffffff"/>
        </w:rPr>
        <w:t xml:space="preserve">）</w:t>
      </w:r>
      <w:r>
        <w:rPr>
          <w:rFonts w:hint="eastAsia" w:ascii="宋体" w:hAnsi="宋体" w:eastAsia="宋体" w:cs="宋体"/>
          <w:highlight w:val="none"/>
          <w:shd w:val="clear" w:color="auto" w:fill="ffffff"/>
        </w:rPr>
        <w:t xml:space="preserve">在中国境内生产。</w:t>
      </w:r>
      <w:r>
        <w:rPr>
          <w:rStyle w:val="895"/>
          <w:rFonts w:hint="eastAsia" w:ascii="宋体" w:hAnsi="宋体" w:eastAsia="宋体" w:cs="宋体"/>
          <w:strike/>
          <w:highlight w:val="none"/>
          <w:u w:val="single"/>
          <w:shd w:val="clear" w:color="auto" w:fill="ffffff"/>
        </w:rPr>
        <w:t xml:space="preserve">（产品名称1）</w:t>
      </w:r>
      <w:r>
        <w:rPr>
          <w:rFonts w:hint="eastAsia" w:ascii="宋体" w:hAnsi="宋体" w:eastAsia="宋体" w:cs="宋体"/>
          <w:strike/>
          <w:highlight w:val="none"/>
          <w:shd w:val="clear" w:color="auto" w:fill="ffffff"/>
        </w:rPr>
        <w:t xml:space="preserve">的</w:t>
      </w:r>
      <w:r>
        <w:rPr>
          <w:rStyle w:val="895"/>
          <w:rFonts w:hint="eastAsia" w:ascii="宋体" w:hAnsi="宋体" w:eastAsia="宋体" w:cs="宋体"/>
          <w:strike/>
          <w:highlight w:val="none"/>
          <w:u w:val="single"/>
          <w:shd w:val="clear" w:color="auto" w:fill="ffffff"/>
        </w:rPr>
        <w:t xml:space="preserve">（关键工序）</w:t>
      </w:r>
      <w:r>
        <w:rPr>
          <w:rFonts w:hint="eastAsia" w:ascii="宋体" w:hAnsi="宋体" w:eastAsia="宋体" w:cs="宋体"/>
          <w:highlight w:val="none"/>
          <w:shd w:val="clear" w:color="auto" w:fill="ffffff"/>
        </w:rPr>
        <w:t xml:space="preserve">在中国境内完成。</w:t>
      </w:r>
      <w:r>
        <w:rPr>
          <w:rFonts w:hint="eastAsia" w:ascii="宋体" w:hAnsi="宋体" w:eastAsia="宋体" w:cs="宋体"/>
          <w:highlight w:val="none"/>
        </w:rPr>
      </w:r>
      <w:r/>
    </w:p>
    <w:p>
      <w:pPr>
        <w:pStyle w:val="887"/>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w:t>
      </w:r>
      <w:r>
        <w:rPr>
          <w:rFonts w:hint="eastAsia" w:ascii="宋体" w:hAnsi="宋体" w:eastAsia="宋体" w:cs="宋体"/>
          <w:highlight w:val="none"/>
        </w:rPr>
      </w:r>
      <w:r/>
    </w:p>
    <w:p>
      <w:pPr>
        <w:pStyle w:val="887"/>
        <w:ind w:firstLine="4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本公司（单位）对上述声明内容的真实性负责。如有虚假，愿承担相应法律责任。</w:t>
      </w:r>
      <w:r>
        <w:rPr>
          <w:rFonts w:hint="eastAsia" w:ascii="宋体" w:hAnsi="宋体" w:eastAsia="宋体" w:cs="宋体"/>
          <w:highlight w:val="none"/>
        </w:rPr>
      </w:r>
      <w:r/>
    </w:p>
    <w:p>
      <w:pPr>
        <w:pStyle w:val="887"/>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87"/>
        <w:ind w:right="480" w:firstLine="3720"/>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公司（单位）名称（盖章）：　        </w:t>
      </w:r>
      <w:r>
        <w:rPr>
          <w:rFonts w:hint="eastAsia" w:ascii="宋体" w:hAnsi="宋体" w:eastAsia="宋体" w:cs="宋体"/>
          <w:highlight w:val="none"/>
        </w:rPr>
      </w:r>
      <w:r/>
    </w:p>
    <w:p>
      <w:pPr>
        <w:pStyle w:val="887"/>
        <w:jc w:val="center"/>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                                日期：　   年　  月　  日         </w:t>
      </w:r>
      <w:r>
        <w:rPr>
          <w:rFonts w:hint="eastAsia" w:ascii="宋体" w:hAnsi="宋体" w:eastAsia="宋体" w:cs="宋体"/>
          <w:highlight w:val="none"/>
        </w:rPr>
      </w:r>
      <w:r/>
    </w:p>
    <w:p>
      <w:pPr>
        <w:pStyle w:val="887"/>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__________________</w:t>
      </w:r>
      <w:r>
        <w:rPr>
          <w:rFonts w:hint="eastAsia" w:ascii="宋体" w:hAnsi="宋体" w:eastAsia="宋体" w:cs="宋体"/>
          <w:highlight w:val="none"/>
        </w:rPr>
      </w:r>
      <w:r/>
    </w:p>
    <w:p>
      <w:pPr>
        <w:pStyle w:val="887"/>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1.产品如有型号，请在“产品名称”栏一并填写。</w:t>
      </w:r>
      <w:r>
        <w:rPr>
          <w:rFonts w:hint="eastAsia" w:ascii="宋体" w:hAnsi="宋体" w:eastAsia="宋体" w:cs="宋体"/>
          <w:highlight w:val="none"/>
        </w:rPr>
      </w:r>
      <w:r/>
    </w:p>
    <w:p>
      <w:pPr>
        <w:pStyle w:val="887"/>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2.生产厂名与厂址应与生产厂营业执照载明的相关信息保持一致。</w:t>
      </w:r>
      <w:r>
        <w:rPr>
          <w:rFonts w:hint="eastAsia" w:ascii="宋体" w:hAnsi="宋体" w:eastAsia="宋体" w:cs="宋体"/>
          <w:highlight w:val="none"/>
        </w:rPr>
      </w:r>
      <w:r/>
    </w:p>
    <w:p>
      <w:pPr>
        <w:pStyle w:val="887"/>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3.该产品的中国境内生产的组件成本占比相关要求实施前，“规定比例”栏可不填，下同。</w:t>
      </w:r>
      <w:r>
        <w:rPr>
          <w:rFonts w:hint="eastAsia" w:ascii="宋体" w:hAnsi="宋体" w:eastAsia="宋体" w:cs="宋体"/>
          <w:highlight w:val="none"/>
        </w:rPr>
      </w:r>
      <w:r/>
    </w:p>
    <w:p>
      <w:pPr>
        <w:pStyle w:val="887"/>
        <w:spacing w:before="30" w:beforeAutospacing="0" w:after="30" w:afterAutospacing="0" w:line="0" w:lineRule="atLeast"/>
        <w:rPr>
          <w:rFonts w:hint="eastAsia" w:ascii="宋体" w:hAnsi="宋体" w:eastAsia="宋体" w:cs="宋体"/>
          <w:highlight w:val="none"/>
        </w:rPr>
      </w:pPr>
      <w:r>
        <w:rPr>
          <w:rFonts w:hint="eastAsia" w:ascii="宋体" w:hAnsi="宋体" w:eastAsia="宋体" w:cs="宋体"/>
          <w:highlight w:val="none"/>
          <w:shd w:val="clear" w:color="auto" w:fill="ffffff"/>
        </w:rPr>
        <w:t xml:space="preserve">4.该产品的关键组件要求实施前，“关键组件”栏可不填，下同。</w:t>
      </w:r>
      <w:r>
        <w:rPr>
          <w:rFonts w:hint="eastAsia" w:ascii="宋体" w:hAnsi="宋体" w:eastAsia="宋体" w:cs="宋体"/>
          <w:highlight w:val="none"/>
        </w:rPr>
      </w:r>
      <w:r/>
    </w:p>
    <w:p>
      <w:pPr>
        <w:pStyle w:val="887"/>
        <w:spacing w:before="30" w:beforeAutospacing="0" w:after="30" w:afterAutospacing="0" w:line="0" w:lineRule="atLeas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5.该产品的关键工序要求实施前，“关键工序”栏可不填，下同。</w:t>
      </w:r>
      <w:r>
        <w:rPr>
          <w:rFonts w:hint="eastAsia" w:ascii="宋体" w:hAnsi="宋体" w:eastAsia="宋体" w:cs="宋体"/>
          <w:highlight w:val="none"/>
          <w:shd w:val="clear" w:color="auto" w:fill="ffffff"/>
        </w:rPr>
      </w:r>
      <w:r/>
    </w:p>
    <w:p>
      <w:pPr>
        <w:pStyle w:val="842"/>
        <w:spacing w:line="360" w:lineRule="auto"/>
        <w:tabs>
          <w:tab w:val="left" w:pos="4860" w:leader="none"/>
        </w:tabs>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6.用斜线划除的地方无需填写。</w:t>
      </w:r>
      <w:r>
        <w:rPr>
          <w:rFonts w:hint="eastAsia" w:ascii="宋体" w:hAnsi="宋体" w:eastAsia="宋体" w:cs="宋体"/>
          <w:sz w:val="24"/>
          <w:highlight w:val="none"/>
          <w:shd w:val="clear" w:color="auto" w:fill="ffffff"/>
        </w:rPr>
      </w:r>
      <w:r/>
    </w:p>
    <w:p>
      <w:pPr>
        <w:pStyle w:val="842"/>
        <w:spacing w:line="240" w:lineRule="auto"/>
        <w:rPr>
          <w:rFonts w:hint="eastAsia" w:ascii="宋体" w:hAnsi="宋体" w:eastAsia="宋体" w:cs="宋体"/>
          <w:b/>
          <w:bCs/>
          <w:color w:val="ff0000"/>
          <w:highlight w:val="none"/>
          <w:shd w:val="clear" w:color="auto" w:fill="ffffff"/>
        </w:rPr>
      </w:pPr>
      <w:r>
        <w:rPr>
          <w:rFonts w:hint="eastAsia" w:ascii="宋体" w:hAnsi="宋体" w:eastAsia="宋体" w:cs="宋体"/>
          <w:b/>
          <w:bCs/>
          <w:color w:val="ff0000"/>
          <w:highlight w:val="none"/>
          <w:shd w:val="clear" w:color="auto" w:fill="ffffff"/>
        </w:rPr>
        <w:t xml:space="preserve">适用于采购项目或者采购包中含有多种产品时，不提供或者提供声明的比例达不到要求时，不享受价格扣除)</w:t>
      </w:r>
      <w:r>
        <w:rPr>
          <w:rFonts w:hint="eastAsia" w:ascii="宋体" w:hAnsi="宋体" w:eastAsia="宋体" w:cs="宋体"/>
          <w:b/>
          <w:bCs/>
          <w:color w:val="ff0000"/>
          <w:highlight w:val="none"/>
          <w:shd w:val="clear" w:color="auto" w:fill="ffffff"/>
        </w:rPr>
      </w:r>
      <w:r/>
    </w:p>
    <w:p>
      <w:pPr>
        <w:pStyle w:val="887"/>
        <w:jc w:val="center"/>
        <w:spacing w:before="30" w:after="30" w:line="0" w:lineRule="atLeast"/>
        <w:rPr>
          <w:rFonts w:hint="eastAsia" w:ascii="宋体" w:hAnsi="宋体" w:eastAsia="宋体" w:cs="宋体"/>
          <w:b/>
          <w:bCs/>
          <w:color w:val="000000"/>
          <w:sz w:val="36"/>
          <w:szCs w:val="36"/>
          <w:highlight w:val="none"/>
          <w:shd w:val="clear" w:color="auto" w:fill="ffffff"/>
        </w:rPr>
      </w:pPr>
      <w:r>
        <w:rPr>
          <w:rFonts w:hint="eastAsia" w:ascii="宋体" w:hAnsi="宋体" w:eastAsia="宋体" w:cs="宋体"/>
          <w:b/>
          <w:bCs/>
          <w:color w:val="000000"/>
          <w:sz w:val="36"/>
          <w:szCs w:val="36"/>
          <w:highlight w:val="none"/>
          <w:shd w:val="clear" w:color="auto" w:fill="ffffff"/>
        </w:rPr>
        <w:t xml:space="preserve">成本比例声明函</w:t>
      </w:r>
      <w:r>
        <w:rPr>
          <w:rFonts w:hint="eastAsia" w:ascii="宋体" w:hAnsi="宋体" w:eastAsia="宋体" w:cs="宋体"/>
          <w:b/>
          <w:bCs/>
          <w:color w:val="000000"/>
          <w:sz w:val="36"/>
          <w:szCs w:val="36"/>
          <w:highlight w:val="none"/>
          <w:shd w:val="clear" w:color="auto" w:fill="ffffff"/>
        </w:rPr>
      </w:r>
      <w:r/>
    </w:p>
    <w:p>
      <w:pPr>
        <w:pStyle w:val="887"/>
        <w:ind w:firstLine="480"/>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b w:val="0"/>
          <w:color w:val="ff0000"/>
          <w:highlight w:val="none"/>
          <w:shd w:val="clear" w:color="auto" w:fill="ffffff"/>
        </w:rPr>
        <w:t xml:space="preserve">(填写具体百分比)</w:t>
      </w:r>
      <w:r>
        <w:rPr>
          <w:rFonts w:hint="eastAsia" w:ascii="宋体" w:hAnsi="宋体" w:eastAsia="宋体" w:cs="宋体"/>
          <w:b w:val="0"/>
          <w:color w:val="000000"/>
          <w:highlight w:val="none"/>
          <w:shd w:val="clear" w:color="auto" w:fill="ffffff"/>
        </w:rPr>
      </w:r>
      <w:r/>
    </w:p>
    <w:p>
      <w:pPr>
        <w:pStyle w:val="887"/>
        <w:ind w:firstLine="480"/>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b w:val="0"/>
          <w:color w:val="000000"/>
          <w:highlight w:val="none"/>
          <w:shd w:val="clear" w:color="auto" w:fill="ffffff"/>
        </w:rPr>
      </w:r>
      <w:r/>
    </w:p>
    <w:p>
      <w:pPr>
        <w:pStyle w:val="887"/>
        <w:jc w:val="right"/>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公司(单位)名称(盖章):</w:t>
      </w:r>
      <w:r>
        <w:rPr>
          <w:rFonts w:hint="eastAsia" w:ascii="宋体" w:hAnsi="宋体" w:eastAsia="宋体" w:cs="宋体"/>
          <w:b w:val="0"/>
          <w:color w:val="000000"/>
          <w:highlight w:val="none"/>
          <w:shd w:val="clear" w:color="auto" w:fill="ffffff"/>
        </w:rPr>
      </w:r>
      <w:r/>
    </w:p>
    <w:p>
      <w:pPr>
        <w:pStyle w:val="887"/>
        <w:jc w:val="right"/>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t xml:space="preserve">日期:年月日</w:t>
      </w:r>
      <w:r>
        <w:rPr>
          <w:rFonts w:hint="eastAsia" w:ascii="宋体" w:hAnsi="宋体" w:eastAsia="宋体" w:cs="宋体"/>
          <w:b w:val="0"/>
          <w:color w:val="000000"/>
          <w:highlight w:val="none"/>
          <w:shd w:val="clear" w:color="auto" w:fill="ffffff"/>
        </w:rPr>
      </w:r>
      <w:r/>
    </w:p>
    <w:p>
      <w:pPr>
        <w:pStyle w:val="887"/>
        <w:spacing w:before="30" w:after="30" w:line="360" w:lineRule="auto"/>
        <w:rPr>
          <w:rFonts w:hint="eastAsia" w:ascii="宋体" w:hAnsi="宋体" w:eastAsia="宋体" w:cs="宋体"/>
          <w:b w:val="0"/>
          <w:color w:val="000000"/>
          <w:highlight w:val="none"/>
          <w:shd w:val="clear" w:color="auto" w:fill="ffffff"/>
        </w:rPr>
      </w:pPr>
      <w:r>
        <w:rPr>
          <w:rFonts w:hint="eastAsia" w:ascii="宋体" w:hAnsi="宋体" w:eastAsia="宋体" w:cs="宋体"/>
          <w:b w:val="0"/>
          <w:color w:val="000000"/>
          <w:highlight w:val="none"/>
          <w:shd w:val="clear" w:color="auto" w:fill="ffffff"/>
        </w:rPr>
      </w:r>
      <w:r/>
    </w:p>
    <w:p>
      <w:pPr>
        <w:pStyle w:val="842"/>
        <w:spacing w:line="360" w:lineRule="auto"/>
        <w:tabs>
          <w:tab w:val="left" w:pos="4860" w:leader="none"/>
        </w:tabs>
        <w:rPr>
          <w:rFonts w:hint="eastAsia" w:ascii="宋体" w:hAnsi="宋体" w:eastAsia="宋体" w:cs="宋体"/>
          <w:sz w:val="24"/>
          <w:highlight w:val="none"/>
          <w:shd w:val="clear" w:color="auto" w:fill="ffffff"/>
        </w:rPr>
      </w:pPr>
      <w:r>
        <w:rPr>
          <w:rFonts w:hint="eastAsia" w:ascii="宋体" w:hAnsi="宋体" w:eastAsia="宋体" w:cs="宋体"/>
          <w:b w:val="0"/>
          <w:color w:val="000000"/>
          <w:highlight w:val="none"/>
          <w:shd w:val="clear" w:color="auto" w:fill="ffffff"/>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ascii="宋体" w:hAnsi="宋体" w:eastAsia="宋体" w:cs="宋体"/>
          <w:b w:val="0"/>
          <w:color w:val="000000"/>
          <w:highlight w:val="none"/>
          <w:shd w:val="clear" w:color="auto" w:fill="ffffff"/>
          <w:lang w:val="en-US" w:eastAsia="zh-CN"/>
        </w:rPr>
        <w:t xml:space="preserve">(含)</w:t>
      </w:r>
      <w:r>
        <w:rPr>
          <w:rFonts w:hint="eastAsia" w:ascii="宋体" w:hAnsi="宋体" w:eastAsia="宋体" w:cs="宋体"/>
          <w:b w:val="0"/>
          <w:color w:val="000000"/>
          <w:highlight w:val="none"/>
          <w:shd w:val="clear" w:color="auto" w:fill="ffffff"/>
        </w:rPr>
        <w:t xml:space="preserve">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highlight w:val="none"/>
          <w:shd w:val="clear" w:color="auto" w:fill="ffffff"/>
        </w:rPr>
      </w:r>
      <w:r/>
    </w:p>
    <w:p>
      <w:pPr>
        <w:pStyle w:val="842"/>
        <w:spacing w:line="360" w:lineRule="auto"/>
        <w:tabs>
          <w:tab w:val="left" w:pos="4860" w:leader="none"/>
        </w:tabs>
        <w:rPr>
          <w:rFonts w:hint="eastAsia" w:ascii="宋体" w:hAnsi="宋体" w:eastAsia="宋体"/>
          <w:sz w:val="24"/>
          <w:highlight w:val="none"/>
          <w:shd w:val="clear" w:color="auto" w:fill="ffffff"/>
        </w:rPr>
      </w:pPr>
      <w:r>
        <w:rPr>
          <w:rFonts w:hint="eastAsia" w:ascii="宋体" w:hAnsi="宋体" w:eastAsia="宋体"/>
          <w:sz w:val="24"/>
          <w:highlight w:val="none"/>
          <w:shd w:val="clear" w:color="auto" w:fill="ffffff"/>
        </w:rPr>
      </w:r>
      <w:r/>
    </w:p>
    <w:p>
      <w:pPr>
        <w:pStyle w:val="842"/>
        <w:ind w:firstLine="399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1044"/>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1044"/>
        <w:rPr>
          <w:highlight w:val="none"/>
        </w:rPr>
      </w:pPr>
      <w:r>
        <w:rPr>
          <w:highlight w:val="none"/>
        </w:rPr>
      </w:r>
      <w:r/>
    </w:p>
    <w:p>
      <w:pPr>
        <w:pStyle w:val="887"/>
        <w:numPr>
          <w:ilvl w:val="0"/>
          <w:numId w:val="0"/>
        </w:numPr>
        <w:ind w:right="0"/>
        <w:jc w:val="both"/>
        <w:keepLines w:val="0"/>
        <w:keepNext w:val="0"/>
        <w:spacing w:before="100" w:beforeAutospacing="1" w:after="100" w:afterAutospacing="1" w:line="500" w:lineRule="atLeast"/>
        <w:widowControl/>
        <w:rPr>
          <w:rFonts w:hint="eastAsia" w:ascii="宋体" w:hAnsi="宋体" w:cs="宋体"/>
          <w:b/>
          <w:szCs w:val="21"/>
          <w:highlight w:val="none"/>
        </w:rPr>
        <w:suppressLineNumbers w:val="0"/>
      </w:pPr>
      <w:r>
        <w:rPr>
          <w:rFonts w:hint="eastAsia" w:ascii="宋体" w:hAnsi="宋体" w:cs="宋体"/>
          <w:b/>
          <w:sz w:val="24"/>
          <w:szCs w:val="21"/>
          <w:highlight w:val="none"/>
          <w:lang w:val="en-US" w:eastAsia="zh-CN" w:bidi="ar-SA"/>
        </w:rPr>
        <w:br w:type="page" w:clear="all"/>
      </w:r>
      <w:r>
        <w:rPr>
          <w:rFonts w:hint="eastAsia" w:ascii="宋体" w:hAnsi="宋体" w:cs="宋体"/>
          <w:b/>
          <w:sz w:val="24"/>
          <w:szCs w:val="21"/>
          <w:highlight w:val="none"/>
          <w:lang w:val="en-US" w:eastAsia="zh-CN" w:bidi="ar-SA"/>
        </w:rPr>
        <w:t xml:space="preserve">（十）</w:t>
      </w:r>
      <w:r>
        <w:rPr>
          <w:rFonts w:hint="eastAsia" w:ascii="宋体" w:hAnsi="宋体" w:cs="宋体"/>
          <w:b/>
          <w:szCs w:val="21"/>
          <w:highlight w:val="none"/>
        </w:rPr>
        <w:t xml:space="preserve">南京市政府采购供应商信用记录表暨信用承诺书（格式）：</w:t>
      </w:r>
      <w:r>
        <w:rPr>
          <w:rFonts w:hint="eastAsia" w:ascii="宋体" w:hAnsi="宋体" w:cs="宋体"/>
          <w:b/>
          <w:szCs w:val="21"/>
          <w:highlight w:val="none"/>
        </w:rPr>
      </w:r>
      <w:r/>
    </w:p>
    <w:p>
      <w:pPr>
        <w:pStyle w:val="887"/>
        <w:ind w:right="-5"/>
        <w:keepLines w:val="0"/>
        <w:keepNext w:val="0"/>
        <w:spacing w:before="100" w:beforeAutospacing="1" w:after="100" w:afterAutospacing="1"/>
        <w:widowControl/>
        <w:rPr>
          <w:rFonts w:ascii="Arial" w:hAnsi="Arial" w:cs="Arial"/>
          <w:sz w:val="18"/>
          <w:szCs w:val="18"/>
          <w:highlight w:val="none"/>
        </w:rPr>
        <w:suppressLineNumbers w:val="0"/>
      </w:pPr>
      <w:r>
        <w:rPr>
          <w:rFonts w:hint="eastAsia" w:ascii="宋体" w:hAnsi="宋体" w:eastAsia="宋体" w:cs="宋体"/>
          <w:bCs/>
          <w:sz w:val="18"/>
          <w:szCs w:val="18"/>
          <w:highlight w:val="none"/>
          <w:lang w:val="en-US" w:eastAsia="zh-CN" w:bidi="ar-SA"/>
        </w:rPr>
        <w:t xml:space="preserve">点</w:t>
      </w:r>
      <w:r>
        <w:rPr>
          <w:rFonts w:hint="eastAsia" w:ascii="宋体" w:hAnsi="宋体" w:eastAsia="宋体" w:cs="宋体"/>
          <w:bCs/>
          <w:sz w:val="18"/>
          <w:szCs w:val="18"/>
          <w:highlight w:val="none"/>
          <w:lang w:val="en-US" w:eastAsia="zh-CN" w:bidi="ar-SA"/>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cs="宋体"/>
          <w:b/>
          <w:bCs w:val="0"/>
          <w:color w:val="0000ff"/>
          <w:sz w:val="18"/>
          <w:szCs w:val="18"/>
          <w:highlight w:val="none"/>
          <w:lang w:val="en-US" w:eastAsia="zh-CN" w:bidi="ar-SA"/>
        </w:rPr>
        <w:t xml:space="preserve">由法人签字并盖单位公章</w:t>
      </w:r>
      <w:r>
        <w:rPr>
          <w:rFonts w:hint="eastAsia" w:ascii="宋体" w:hAnsi="宋体" w:eastAsia="宋体" w:cs="宋体"/>
          <w:bCs/>
          <w:sz w:val="18"/>
          <w:szCs w:val="18"/>
          <w:highlight w:val="none"/>
          <w:lang w:val="en-US" w:eastAsia="zh-CN" w:bidi="ar-SA"/>
        </w:rPr>
        <w:t xml:space="preserve">。</w:t>
      </w:r>
      <w:r>
        <w:rPr>
          <w:rFonts w:ascii="Arial" w:hAnsi="Arial" w:cs="Arial"/>
          <w:sz w:val="18"/>
          <w:szCs w:val="18"/>
          <w:highlight w:val="none"/>
        </w:rPr>
      </w:r>
      <w:r/>
    </w:p>
    <w:p>
      <w:pPr>
        <w:pStyle w:val="887"/>
        <w:numPr>
          <w:ilvl w:val="0"/>
          <w:numId w:val="0"/>
        </w:numPr>
        <w:ind w:right="0"/>
        <w:jc w:val="center"/>
        <w:keepLines w:val="0"/>
        <w:keepNext w:val="0"/>
        <w:spacing w:before="100" w:beforeAutospacing="1" w:after="100" w:afterAutospacing="1" w:line="500" w:lineRule="atLeast"/>
        <w:widowControl/>
        <w:rPr>
          <w:rFonts w:hint="eastAsia" w:ascii="宋体" w:hAnsi="宋体" w:eastAsia="宋体" w:cs="宋体"/>
          <w:b/>
          <w:szCs w:val="21"/>
          <w:highlight w:val="none"/>
        </w:rPr>
        <w:suppressLineNumbers w:val="0"/>
      </w:pPr>
      <w:r>
        <w:rPr>
          <w:rFonts w:hint="eastAsia" w:ascii="宋体" w:hAnsi="宋体" w:eastAsia="宋体" w:cs="宋体"/>
          <w:b/>
          <w:szCs w:val="21"/>
          <w:highlight w:val="none"/>
        </w:rPr>
        <w:t xml:space="preserve">南京市政府采购供应商信用记录表暨信用承诺书</w:t>
      </w:r>
      <w:r>
        <w:rPr>
          <w:rFonts w:hint="eastAsia" w:ascii="宋体" w:hAnsi="宋体" w:eastAsia="宋体" w:cs="宋体"/>
          <w:b/>
          <w:szCs w:val="21"/>
          <w:highlight w:val="none"/>
        </w:rPr>
      </w:r>
      <w:r/>
    </w:p>
    <w:p>
      <w:pPr>
        <w:pStyle w:val="887"/>
        <w:numPr>
          <w:ilvl w:val="0"/>
          <w:numId w:val="0"/>
        </w:numPr>
        <w:ind w:right="0"/>
        <w:jc w:val="center"/>
        <w:keepLines w:val="0"/>
        <w:keepNext w:val="0"/>
        <w:spacing w:before="0" w:beforeAutospacing="0" w:after="0" w:afterAutospacing="0" w:line="240" w:lineRule="auto"/>
        <w:widowControl/>
        <w:rPr>
          <w:rFonts w:hint="eastAsia" w:ascii="宋体" w:hAnsi="宋体" w:eastAsia="宋体" w:cs="宋体"/>
          <w:b/>
          <w:szCs w:val="21"/>
          <w:highlight w:val="none"/>
          <w:lang w:eastAsia="zh-CN"/>
        </w:rPr>
        <w:suppressLineNumbers w:val="0"/>
      </w:pP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须按上述要求下载，直接打印填写下表无效</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eastAsia="zh-CN"/>
        </w:rPr>
      </w:r>
      <w:r/>
    </w:p>
    <w:p>
      <w:pPr>
        <w:pStyle w:val="887"/>
        <w:ind w:left="0" w:right="0"/>
        <w:jc w:val="right"/>
        <w:keepLines w:val="0"/>
        <w:keepNext w:val="0"/>
        <w:spacing w:before="0" w:beforeAutospacing="0" w:after="0" w:afterAutospacing="0" w:line="240" w:lineRule="auto"/>
        <w:widowControl/>
        <w:rPr>
          <w:highlight w:val="none"/>
        </w:rPr>
        <w:suppressLineNumbers w:val="0"/>
      </w:pPr>
      <w:r>
        <w:rPr>
          <w:b w:val="0"/>
          <w:bCs w:val="0"/>
          <w:sz w:val="21"/>
          <w:szCs w:val="21"/>
          <w:highlight w:val="none"/>
        </w:rPr>
        <w:t xml:space="preserve">年月日</w:t>
      </w:r>
      <w:r>
        <w:rPr>
          <w:highlight w:val="none"/>
        </w:rPr>
        <w:t xml:space="preserve"> </w:t>
      </w:r>
      <w:r>
        <w:rPr>
          <w:highlight w:val="none"/>
        </w:rPr>
      </w:r>
      <w:r/>
    </w:p>
    <w:tbl>
      <w:tblPr>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65"/>
        <w:gridCol w:w="308"/>
        <w:gridCol w:w="7695"/>
        <w:gridCol w:w="323"/>
      </w:tblGrid>
      <w:tr>
        <w:trPr>
          <w:tblCellSpacing w:w="15" w:type="dxa"/>
          <w:trHeight w:val="20"/>
        </w:trPr>
        <w:tc>
          <w:tcPr>
            <w:tcW w:w="665"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单位名称</w:t>
            </w:r>
            <w:r>
              <w:rPr>
                <w:highlight w:val="none"/>
              </w:rPr>
              <w:t xml:space="preserve"> </w:t>
            </w:r>
            <w:r>
              <w:rPr>
                <w:highlight w:val="none"/>
              </w:rPr>
            </w:r>
            <w:r/>
          </w:p>
        </w:tc>
        <w:tc>
          <w:tcPr>
            <w:tcW w:w="308"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c>
          <w:tcPr>
            <w:tcW w:w="7695"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统一社会信用代码</w:t>
            </w:r>
            <w:r>
              <w:rPr>
                <w:highlight w:val="none"/>
              </w:rPr>
              <w:t xml:space="preserve"> </w:t>
            </w:r>
            <w:r>
              <w:rPr>
                <w:highlight w:val="none"/>
              </w:rPr>
            </w:r>
            <w:r/>
          </w:p>
        </w:tc>
        <w:tc>
          <w:tcPr>
            <w:tcW w:w="323"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20"/>
        </w:trPr>
        <w:tc>
          <w:tcPr>
            <w:tcW w:w="665"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法定代表人</w:t>
            </w:r>
            <w:r>
              <w:rPr>
                <w:highlight w:val="none"/>
              </w:rPr>
              <w:t xml:space="preserve"> </w:t>
            </w:r>
            <w:r>
              <w:rPr>
                <w:highlight w:val="none"/>
              </w:rPr>
            </w:r>
            <w:r/>
          </w:p>
        </w:tc>
        <w:tc>
          <w:tcPr>
            <w:tcW w:w="308"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c>
          <w:tcPr>
            <w:tcW w:w="7695"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联系人</w:t>
            </w:r>
            <w:r>
              <w:rPr>
                <w:highlight w:val="none"/>
              </w:rPr>
              <w:t xml:space="preserve"> </w:t>
            </w:r>
            <w:r>
              <w:rPr>
                <w:highlight w:val="none"/>
              </w:rPr>
            </w:r>
            <w:r/>
          </w:p>
        </w:tc>
        <w:tc>
          <w:tcPr>
            <w:tcW w:w="323"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20"/>
        </w:trPr>
        <w:tc>
          <w:tcPr>
            <w:tcW w:w="665"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联系地址</w:t>
            </w:r>
            <w:r>
              <w:rPr>
                <w:highlight w:val="none"/>
              </w:rPr>
              <w:t xml:space="preserve"> </w:t>
            </w:r>
            <w:r>
              <w:rPr>
                <w:highlight w:val="none"/>
              </w:rPr>
            </w:r>
            <w:r/>
          </w:p>
        </w:tc>
        <w:tc>
          <w:tcPr>
            <w:tcW w:w="308"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c>
          <w:tcPr>
            <w:tcW w:w="7695"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联系电话</w:t>
            </w:r>
            <w:r>
              <w:rPr>
                <w:highlight w:val="none"/>
              </w:rPr>
              <w:t xml:space="preserve"> </w:t>
            </w:r>
            <w:r>
              <w:rPr>
                <w:highlight w:val="none"/>
              </w:rPr>
            </w:r>
            <w:r/>
          </w:p>
        </w:tc>
        <w:tc>
          <w:tcPr>
            <w:tcW w:w="323"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1024"/>
        </w:trPr>
        <w:tc>
          <w:tcPr>
            <w:tcW w:w="665"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诚信档案记录情况</w:t>
            </w:r>
            <w:r>
              <w:rPr>
                <w:highlight w:val="none"/>
              </w:rPr>
              <w:t xml:space="preserve"> </w:t>
            </w:r>
            <w:r>
              <w:rPr>
                <w:highlight w:val="none"/>
              </w:rPr>
            </w:r>
            <w:r/>
          </w:p>
        </w:tc>
        <w:tc>
          <w:tcPr>
            <w:gridSpan w:val="3"/>
            <w:tcW w:w="8326"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highlight w:val="none"/>
              </w:rPr>
            </w:r>
            <w:r/>
          </w:p>
        </w:tc>
      </w:tr>
      <w:tr>
        <w:trPr>
          <w:tblCellSpacing w:w="15" w:type="dxa"/>
          <w:trHeight w:val="5318"/>
        </w:trPr>
        <w:tc>
          <w:tcPr>
            <w:tcW w:w="665" w:type="dxa"/>
            <w:vAlign w:val="center"/>
            <w:textDirection w:val="lrTb"/>
            <w:noWrap w:val="false"/>
          </w:tcPr>
          <w:p>
            <w:pPr>
              <w:pStyle w:val="887"/>
              <w:ind w:left="0" w:right="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信用承诺</w:t>
            </w:r>
            <w:r>
              <w:rPr>
                <w:highlight w:val="none"/>
              </w:rPr>
              <w:t xml:space="preserve"> </w:t>
            </w:r>
            <w:r>
              <w:rPr>
                <w:highlight w:val="none"/>
              </w:rPr>
            </w:r>
            <w:r/>
          </w:p>
        </w:tc>
        <w:tc>
          <w:tcPr>
            <w:gridSpan w:val="3"/>
            <w:tcW w:w="8326" w:type="dxa"/>
            <w:vAlign w:val="center"/>
            <w:textDirection w:val="lrTb"/>
            <w:noWrap w:val="false"/>
          </w:tcPr>
          <w:p>
            <w:pPr>
              <w:pStyle w:val="887"/>
              <w:ind w:left="0" w:right="0" w:firstLine="42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我公司自愿参加</w:t>
            </w:r>
            <w:r>
              <w:rPr>
                <w:rFonts w:hint="eastAsia"/>
                <w:b w:val="0"/>
                <w:bCs w:val="0"/>
                <w:sz w:val="21"/>
                <w:szCs w:val="21"/>
                <w:highlight w:val="none"/>
                <w:lang w:val="en-US" w:eastAsia="zh-CN"/>
              </w:rPr>
              <w:t xml:space="preserve">苏美达国际技术贸易有限公司</w:t>
            </w:r>
            <w:r>
              <w:rPr>
                <w:b w:val="0"/>
                <w:bCs w:val="0"/>
                <w:sz w:val="21"/>
                <w:szCs w:val="21"/>
                <w:highlight w:val="none"/>
              </w:rPr>
              <w:t xml:space="preserve">组织的本次采购活动，严格遵守《中华人民共和国政府采购法》及相关法律法规，坚守公开、公平、公证、诚实信用的原则，已发诚信经营，无条件遵守本次政府采购活动的各项规定。</w:t>
            </w:r>
            <w:r>
              <w:rPr>
                <w:highlight w:val="none"/>
              </w:rPr>
              <w:t xml:space="preserve"> </w:t>
            </w:r>
            <w:r>
              <w:rPr>
                <w:highlight w:val="none"/>
              </w:rPr>
            </w:r>
            <w:r/>
          </w:p>
          <w:p>
            <w:pPr>
              <w:pStyle w:val="887"/>
              <w:ind w:left="0" w:right="0" w:firstLine="420"/>
              <w:jc w:val="lef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highlight w:val="none"/>
              </w:rPr>
              <w:t xml:space="preserve"> </w:t>
            </w:r>
            <w:r>
              <w:rPr>
                <w:highlight w:val="none"/>
              </w:rPr>
            </w:r>
            <w:r/>
          </w:p>
          <w:p>
            <w:pPr>
              <w:pStyle w:val="887"/>
              <w:ind w:left="0" w:right="0"/>
              <w:jc w:val="righ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供应商名称（盖章）：</w:t>
            </w:r>
            <w:r>
              <w:rPr>
                <w:highlight w:val="none"/>
              </w:rPr>
              <w:t xml:space="preserve"> </w:t>
            </w:r>
            <w:r>
              <w:rPr>
                <w:highlight w:val="none"/>
              </w:rPr>
            </w:r>
            <w:r/>
          </w:p>
          <w:p>
            <w:pPr>
              <w:pStyle w:val="887"/>
              <w:ind w:left="0" w:right="0"/>
              <w:jc w:val="righ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法定代表人（签字）：</w:t>
            </w:r>
            <w:r>
              <w:rPr>
                <w:highlight w:val="none"/>
              </w:rPr>
              <w:t xml:space="preserve"> </w:t>
            </w:r>
            <w:r>
              <w:rPr>
                <w:highlight w:val="none"/>
              </w:rPr>
            </w:r>
            <w:r/>
          </w:p>
          <w:p>
            <w:pPr>
              <w:pStyle w:val="887"/>
              <w:ind w:left="0" w:right="0"/>
              <w:jc w:val="right"/>
              <w:keepLines w:val="0"/>
              <w:keepNext w:val="0"/>
              <w:spacing w:before="100" w:beforeAutospacing="1" w:after="100" w:afterAutospacing="1" w:line="22" w:lineRule="atLeast"/>
              <w:widowControl/>
              <w:rPr>
                <w:highlight w:val="none"/>
              </w:rPr>
              <w:suppressLineNumbers w:val="0"/>
            </w:pPr>
            <w:r>
              <w:rPr>
                <w:b w:val="0"/>
                <w:bCs w:val="0"/>
                <w:sz w:val="21"/>
                <w:szCs w:val="21"/>
                <w:highlight w:val="none"/>
              </w:rPr>
              <w:t xml:space="preserve">年月日</w:t>
            </w:r>
            <w:r>
              <w:rPr>
                <w:highlight w:val="none"/>
              </w:rPr>
              <w:t xml:space="preserve"> </w:t>
            </w:r>
            <w:r>
              <w:rPr>
                <w:highlight w:val="none"/>
              </w:rPr>
            </w:r>
            <w:r/>
          </w:p>
        </w:tc>
      </w:tr>
    </w:tbl>
    <w:p>
      <w:pPr>
        <w:pStyle w:val="1041"/>
        <w:ind w:firstLine="240"/>
        <w:rPr>
          <w:rFonts w:ascii="Arial" w:hAnsi="Arial" w:cs="Arial"/>
          <w:sz w:val="24"/>
          <w:highlight w:val="none"/>
        </w:rPr>
      </w:pPr>
      <w:r>
        <w:rPr>
          <w:rFonts w:ascii="Arial" w:hAnsi="Arial" w:cs="Arial"/>
          <w:sz w:val="24"/>
          <w:highlight w:val="none"/>
        </w:rPr>
      </w:r>
      <w:r/>
    </w:p>
    <w:sectPr>
      <w:headerReference w:type="default" r:id="rId12"/>
      <w:headerReference w:type="first" r:id="rId13"/>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_GB2312">
    <w:panose1 w:val="02010609060101010101"/>
  </w:font>
  <w:font w:name="黑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华文新魏">
    <w:panose1 w:val="02010800040101010101"/>
  </w:font>
  <w:font w:name="等线">
    <w:panose1 w:val="02010600030101010101"/>
  </w:font>
  <w:font w:name="仿宋">
    <w:panose1 w:val="02010609060101010101"/>
  </w:font>
  <w:font w:name="Courier New">
    <w:panose1 w:val="02070309020205020404"/>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rPr>
        <w:rStyle w:val="899"/>
        <w:rFonts w:hint="eastAsia"/>
      </w:rPr>
    </w:pPr>
    <w:r>
      <w:rPr>
        <w:rStyle w:val="899"/>
        <w:rFonts w:hint="eastAsia"/>
      </w:rPr>
      <w:t xml:space="preserve">            </w:t>
    </w:r>
    <w:r>
      <w:rPr>
        <w:rStyle w:val="899"/>
        <w:rFonts w:hint="eastAsia"/>
      </w:rPr>
    </w:r>
    <w:r/>
  </w:p>
  <w:p>
    <w:pPr>
      <w:pStyle w:val="1047"/>
      <w:tabs>
        <w:tab w:val="center" w:pos="4153" w:leader="none"/>
        <w:tab w:val="right" w:pos="8306" w:leader="none"/>
      </w:tabs>
      <w:rPr>
        <w:rStyle w:val="899"/>
        <w:rFonts w:hint="eastAsia"/>
      </w:rPr>
      <w:framePr w:wrap="around" w:vAnchor="text" w:hAnchor="page" w:x="6104" w:y="52"/>
    </w:pPr>
    <w:r>
      <w:rPr>
        <w:rStyle w:val="899"/>
        <w:rFonts w:hint="eastAsia"/>
      </w:rPr>
      <w:t xml:space="preserve">                   </w:t>
    </w:r>
    <w:r>
      <w:rPr>
        <w:rStyle w:val="899"/>
        <w:rFonts w:hint="eastAsia"/>
      </w:rPr>
    </w:r>
    <w:r/>
  </w:p>
  <w:p>
    <w:pPr>
      <w:pStyle w:val="1047"/>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90</w:t>
    </w:r>
    <w:r>
      <w:fldChar w:fldCharType="end"/>
    </w:r>
    <w:r/>
  </w:p>
  <w:p>
    <w:pPr>
      <w:pStyle w:val="1047"/>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42"/>
                    </w:pPr>
                    <w:r/>
                    <w:r/>
                  </w:p>
                </w:txbxContent>
              </v:textbox>
            </v:shape>
          </w:pict>
        </mc:Fallback>
      </mc:AlternateContent>
    </w:r>
    <w:r>
      <w:rPr>
        <w:lang w:val="zh-CN"/>
      </w:rPr>
      <w:t xml:space="preserve"> </w:t>
    </w:r>
    <w:r/>
  </w:p>
  <w:p>
    <w:pPr>
      <w:pStyle w:val="1047"/>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center" w:pos="4153" w:leader="none"/>
        <w:tab w:val="right" w:pos="8306" w:leader="none"/>
      </w:tabs>
    </w:pPr>
    <w:r>
      <w:rPr>
        <w:rFonts w:hint="eastAsia"/>
      </w:rPr>
      <w:t xml:space="preserve">第</w:t>
    </w:r>
    <w:r>
      <w:fldChar w:fldCharType="begin"/>
    </w:r>
    <w:r>
      <w:rPr>
        <w:rStyle w:val="899"/>
      </w:rPr>
      <w:instrText xml:space="preserve"> PAGE </w:instrText>
    </w:r>
    <w:r>
      <w:fldChar w:fldCharType="separate"/>
    </w:r>
    <w:r>
      <w:rPr>
        <w:rStyle w:val="899"/>
      </w:rPr>
      <w:t xml:space="preserve">1</w:t>
    </w:r>
    <w:r>
      <w:fldChar w:fldCharType="end"/>
    </w:r>
    <w:r>
      <w:rPr>
        <w:rStyle w:val="899"/>
        <w:rFonts w:hint="eastAsia"/>
      </w:rPr>
      <w:t xml:space="preserve">页，共</w:t>
    </w:r>
    <w:r>
      <w:fldChar w:fldCharType="begin"/>
    </w:r>
    <w:r>
      <w:rPr>
        <w:rStyle w:val="899"/>
      </w:rPr>
      <w:instrText xml:space="preserve"> NUMPAGES </w:instrText>
    </w:r>
    <w:r>
      <w:fldChar w:fldCharType="separate"/>
    </w:r>
    <w:r>
      <w:rPr>
        <w:rStyle w:val="899"/>
      </w:rPr>
      <w:t xml:space="preserve">8</w:t>
    </w:r>
    <w:r>
      <w:fldChar w:fldCharType="end"/>
    </w:r>
    <w:r>
      <w:rPr>
        <w:rStyle w:val="899"/>
        <w:rFonts w:hint="eastAsi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84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fldChar w:fldCharType="begin"/>
                    </w:r>
                    <w:r>
                      <w:instrText xml:space="preserve"> PAGE  \* MERGEFORMAT </w:instrText>
                    </w:r>
                    <w:r>
                      <w:fldChar w:fldCharType="separate"/>
                    </w:r>
                    <w:r>
                      <w:t xml:space="preserve">45</w:t>
                    </w:r>
                    <w:r>
                      <w:fldChar w:fldCharType="end"/>
                    </w:r>
                    <w:r/>
                  </w:p>
                  <w:p>
                    <w:pPr>
                      <w:pStyle w:val="84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90</w:t>
    </w:r>
    <w:r>
      <w:fldChar w:fldCharType="end"/>
    </w:r>
    <w:r/>
  </w:p>
  <w:p>
    <w:pPr>
      <w:pStyle w:val="1047"/>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876"/>
      <w:tabs>
        <w:tab w:val="center" w:pos="7143" w:leader="none"/>
        <w:tab w:val="right" w:pos="14287" w:leader="none"/>
      </w:tabs>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046"/>
      <w:jc w:val="right"/>
      <w:spacing w:line="40" w:lineRule="exac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046"/>
      <w:jc w:val="right"/>
      <w:spacing w:line="40" w:lineRule="exact"/>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876"/>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8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42"/>
      </w:pPr>
    </w:lvl>
    <w:lvl w:ilvl="1">
      <w:start w:val="1"/>
      <w:numFmt w:val="bullet"/>
      <w:isLgl w:val="false"/>
      <w:suff w:val="space"/>
      <w:lvlText w:val="o"/>
      <w:lvlJc w:val="left"/>
      <w:pPr>
        <w:pStyle w:val="842"/>
        <w:ind w:left="1440" w:hanging="360"/>
      </w:pPr>
      <w:rPr>
        <w:rFonts w:ascii="Courier New" w:hAnsi="Courier New" w:eastAsia="Courier New" w:cs="Courier New"/>
      </w:rPr>
    </w:lvl>
    <w:lvl w:ilvl="2">
      <w:start w:val="1"/>
      <w:numFmt w:val="bullet"/>
      <w:isLgl w:val="false"/>
      <w:suff w:val="space"/>
      <w:lvlText w:val="§"/>
      <w:lvlJc w:val="left"/>
      <w:pPr>
        <w:pStyle w:val="842"/>
        <w:ind w:left="2160" w:hanging="360"/>
      </w:pPr>
      <w:rPr>
        <w:rFonts w:ascii="Wingdings" w:hAnsi="Wingdings" w:eastAsia="Wingdings" w:cs="Wingdings"/>
      </w:rPr>
    </w:lvl>
    <w:lvl w:ilvl="3">
      <w:start w:val="1"/>
      <w:numFmt w:val="bullet"/>
      <w:isLgl w:val="false"/>
      <w:suff w:val="space"/>
      <w:lvlText w:val="·"/>
      <w:lvlJc w:val="left"/>
      <w:pPr>
        <w:pStyle w:val="842"/>
        <w:ind w:left="2880" w:hanging="360"/>
      </w:pPr>
      <w:rPr>
        <w:rFonts w:ascii="Symbol" w:hAnsi="Symbol" w:eastAsia="Symbol" w:cs="Symbol"/>
      </w:rPr>
    </w:lvl>
    <w:lvl w:ilvl="4">
      <w:start w:val="1"/>
      <w:numFmt w:val="bullet"/>
      <w:isLgl w:val="false"/>
      <w:suff w:val="space"/>
      <w:lvlText w:val="o"/>
      <w:lvlJc w:val="left"/>
      <w:pPr>
        <w:pStyle w:val="842"/>
        <w:ind w:left="3600" w:hanging="360"/>
      </w:pPr>
      <w:rPr>
        <w:rFonts w:ascii="Courier New" w:hAnsi="Courier New" w:eastAsia="Courier New" w:cs="Courier New"/>
      </w:rPr>
    </w:lvl>
    <w:lvl w:ilvl="5">
      <w:start w:val="1"/>
      <w:numFmt w:val="bullet"/>
      <w:isLgl w:val="false"/>
      <w:suff w:val="space"/>
      <w:lvlText w:val="§"/>
      <w:lvlJc w:val="left"/>
      <w:pPr>
        <w:pStyle w:val="842"/>
        <w:ind w:left="4320" w:hanging="360"/>
      </w:pPr>
      <w:rPr>
        <w:rFonts w:ascii="Wingdings" w:hAnsi="Wingdings" w:eastAsia="Wingdings" w:cs="Wingdings"/>
      </w:rPr>
    </w:lvl>
    <w:lvl w:ilvl="6">
      <w:start w:val="1"/>
      <w:numFmt w:val="bullet"/>
      <w:isLgl w:val="false"/>
      <w:suff w:val="space"/>
      <w:lvlText w:val="·"/>
      <w:lvlJc w:val="left"/>
      <w:pPr>
        <w:pStyle w:val="842"/>
        <w:ind w:left="5040" w:hanging="360"/>
      </w:pPr>
      <w:rPr>
        <w:rFonts w:ascii="Symbol" w:hAnsi="Symbol" w:eastAsia="Symbol" w:cs="Symbol"/>
      </w:rPr>
    </w:lvl>
    <w:lvl w:ilvl="7">
      <w:start w:val="1"/>
      <w:numFmt w:val="bullet"/>
      <w:isLgl w:val="false"/>
      <w:suff w:val="space"/>
      <w:lvlText w:val="o"/>
      <w:lvlJc w:val="left"/>
      <w:pPr>
        <w:pStyle w:val="842"/>
        <w:ind w:left="5760" w:hanging="360"/>
      </w:pPr>
      <w:rPr>
        <w:rFonts w:ascii="Courier New" w:hAnsi="Courier New" w:eastAsia="Courier New" w:cs="Courier New"/>
      </w:rPr>
    </w:lvl>
    <w:lvl w:ilvl="8">
      <w:start w:val="1"/>
      <w:numFmt w:val="bullet"/>
      <w:isLgl w:val="false"/>
      <w:suff w:val="space"/>
      <w:lvlText w:val="§"/>
      <w:lvlJc w:val="left"/>
      <w:pPr>
        <w:pStyle w:val="842"/>
        <w:ind w:left="6480" w:hanging="360"/>
      </w:pPr>
      <w:rPr>
        <w:rFonts w:ascii="Wingdings" w:hAnsi="Wingdings" w:eastAsia="Wingdings" w:cs="Wingdings"/>
      </w:rPr>
    </w:lvl>
  </w:abstractNum>
  <w:abstractNum w:abstractNumId="5">
    <w:multiLevelType w:val="hybridMultilevel"/>
    <w:lvl w:ilvl="0">
      <w:start w:val="1"/>
      <w:numFmt w:val="decimal"/>
      <w:pStyle w:val="1050"/>
      <w:isLgl w:val="false"/>
      <w:suff w:val="space"/>
      <w:lvlText w:val="%1."/>
      <w:lvlJc w:val="left"/>
      <w:pPr>
        <w:pStyle w:val="842"/>
        <w:ind w:left="1486" w:hanging="1486"/>
      </w:pPr>
      <w:rPr>
        <w:color w:val="000000"/>
        <w:sz w:val="24"/>
        <w:szCs w:val="24"/>
      </w:rPr>
    </w:lvl>
    <w:lvl w:ilvl="1">
      <w:start w:val="1"/>
      <w:numFmt w:val="decimal"/>
      <w:isLgl w:val="false"/>
      <w:suff w:val="space"/>
      <w:lvlText w:val="%1.%2."/>
      <w:lvlJc w:val="left"/>
      <w:pPr>
        <w:pStyle w:val="842"/>
        <w:ind w:left="1486" w:hanging="1486"/>
      </w:pPr>
      <w:rPr>
        <w:rFonts w:ascii="Arial Narrow" w:hAnsi="Arial Narrow" w:eastAsia="仿宋_GB2312"/>
        <w:b w:val="0"/>
        <w:i w:val="0"/>
        <w:color w:val="000000"/>
        <w:sz w:val="24"/>
      </w:rPr>
    </w:lvl>
    <w:lvl w:ilvl="2">
      <w:start w:val="1"/>
      <w:numFmt w:val="decimal"/>
      <w:isLgl w:val="false"/>
      <w:suff w:val="space"/>
      <w:lvlText w:val="%1.%2.%3."/>
      <w:lvlJc w:val="left"/>
      <w:pPr>
        <w:pStyle w:val="842"/>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pStyle w:val="842"/>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pStyle w:val="842"/>
        <w:ind w:left="1486" w:hanging="1486"/>
      </w:pPr>
      <w:rPr>
        <w:rFonts w:ascii="Arial Narrow" w:hAnsi="Arial Narrow" w:eastAsia="仿宋_GB2312"/>
        <w:b w:val="0"/>
        <w:i w:val="0"/>
        <w:sz w:val="24"/>
      </w:rPr>
    </w:lvl>
    <w:lvl w:ilvl="5">
      <w:start w:val="1"/>
      <w:numFmt w:val="decimal"/>
      <w:isLgl w:val="false"/>
      <w:suff w:val="space"/>
      <w:lvlText w:val="%1.%2.%3.%4.%5.%6."/>
      <w:lvlJc w:val="left"/>
      <w:pPr>
        <w:pStyle w:val="842"/>
        <w:ind w:left="1486" w:hanging="1486"/>
      </w:pPr>
    </w:lvl>
    <w:lvl w:ilvl="6">
      <w:start w:val="1"/>
      <w:numFmt w:val="decimal"/>
      <w:isLgl w:val="false"/>
      <w:suff w:val="space"/>
      <w:lvlText w:val="%1.%2.%3.%4.%5.%6.%7."/>
      <w:lvlJc w:val="left"/>
      <w:pPr>
        <w:pStyle w:val="842"/>
        <w:ind w:left="1486" w:hanging="1486"/>
      </w:pPr>
    </w:lvl>
    <w:lvl w:ilvl="7">
      <w:start w:val="1"/>
      <w:numFmt w:val="decimal"/>
      <w:isLgl w:val="false"/>
      <w:suff w:val="space"/>
      <w:lvlText w:val="%1.%2.%3.%4.%5.%6.%7.%8."/>
      <w:lvlJc w:val="left"/>
      <w:pPr>
        <w:pStyle w:val="842"/>
        <w:ind w:left="1486" w:hanging="1486"/>
      </w:pPr>
    </w:lvl>
    <w:lvl w:ilvl="8">
      <w:start w:val="1"/>
      <w:numFmt w:val="decimal"/>
      <w:isLgl w:val="false"/>
      <w:suff w:val="space"/>
      <w:lvlText w:val="%1.%2.%3.%4.%5.%6.%7.%8.%9."/>
      <w:lvlJc w:val="left"/>
      <w:pPr>
        <w:pStyle w:val="842"/>
        <w:ind w:left="1486" w:hanging="1486"/>
      </w:pPr>
    </w:lvl>
  </w:abstractNum>
  <w:abstractNum w:abstractNumId="6">
    <w:multiLevelType w:val="hybridMultilevel"/>
    <w:lvl w:ilvl="0">
      <w:start w:val="2"/>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2"/>
    <w:next w:val="8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2"/>
    <w:next w:val="8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2"/>
    <w:next w:val="842"/>
    <w:link w:val="90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42"/>
    <w:next w:val="8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2"/>
    <w:next w:val="8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2"/>
    <w:next w:val="8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2"/>
    <w:next w:val="8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2"/>
    <w:next w:val="8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2"/>
    <w:next w:val="8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2"/>
    <w:next w:val="8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2"/>
    <w:next w:val="8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2"/>
    <w:next w:val="842"/>
    <w:link w:val="38"/>
    <w:uiPriority w:val="29"/>
    <w:qFormat/>
    <w:pPr>
      <w:ind w:left="720" w:right="720"/>
    </w:pPr>
    <w:rPr>
      <w:i/>
    </w:rPr>
  </w:style>
  <w:style w:type="character" w:styleId="38">
    <w:name w:val="Quote Char"/>
    <w:link w:val="37"/>
    <w:uiPriority w:val="29"/>
    <w:rPr>
      <w:i/>
    </w:rPr>
  </w:style>
  <w:style w:type="paragraph" w:styleId="39">
    <w:name w:val="Intense Quote"/>
    <w:basedOn w:val="842"/>
    <w:next w:val="8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2"/>
    <w:link w:val="907"/>
    <w:uiPriority w:val="99"/>
    <w:unhideWhenUsed/>
    <w:pPr>
      <w:spacing w:after="0" w:line="240" w:lineRule="auto"/>
      <w:tabs>
        <w:tab w:val="center" w:pos="7143" w:leader="none"/>
        <w:tab w:val="right" w:pos="14287" w:leader="none"/>
      </w:tabs>
    </w:pPr>
  </w:style>
  <w:style w:type="paragraph" w:styleId="43">
    <w:name w:val="Footer"/>
    <w:basedOn w:val="842"/>
    <w:link w:val="909"/>
    <w:uiPriority w:val="99"/>
    <w:unhideWhenUsed/>
    <w:pPr>
      <w:spacing w:after="0" w:line="240" w:lineRule="auto"/>
      <w:tabs>
        <w:tab w:val="center" w:pos="7143" w:leader="none"/>
        <w:tab w:val="right" w:pos="14287" w:leader="none"/>
      </w:tabs>
    </w:pPr>
  </w:style>
  <w:style w:type="paragraph" w:styleId="45">
    <w:name w:val="Caption"/>
    <w:basedOn w:val="842"/>
    <w:next w:val="84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2"/>
    <w:next w:val="842"/>
    <w:uiPriority w:val="39"/>
    <w:unhideWhenUsed/>
    <w:pPr>
      <w:ind w:left="0" w:right="0" w:firstLine="0"/>
      <w:spacing w:after="57"/>
    </w:pPr>
  </w:style>
  <w:style w:type="paragraph" w:styleId="181">
    <w:name w:val="toc 2"/>
    <w:basedOn w:val="842"/>
    <w:next w:val="842"/>
    <w:uiPriority w:val="39"/>
    <w:unhideWhenUsed/>
    <w:pPr>
      <w:ind w:left="283" w:right="0" w:firstLine="0"/>
      <w:spacing w:after="57"/>
    </w:pPr>
  </w:style>
  <w:style w:type="paragraph" w:styleId="182">
    <w:name w:val="toc 3"/>
    <w:basedOn w:val="842"/>
    <w:next w:val="842"/>
    <w:uiPriority w:val="39"/>
    <w:unhideWhenUsed/>
    <w:pPr>
      <w:ind w:left="567" w:right="0" w:firstLine="0"/>
      <w:spacing w:after="57"/>
    </w:pPr>
  </w:style>
  <w:style w:type="paragraph" w:styleId="183">
    <w:name w:val="toc 4"/>
    <w:basedOn w:val="842"/>
    <w:next w:val="842"/>
    <w:uiPriority w:val="39"/>
    <w:unhideWhenUsed/>
    <w:pPr>
      <w:ind w:left="850" w:right="0" w:firstLine="0"/>
      <w:spacing w:after="57"/>
    </w:pPr>
  </w:style>
  <w:style w:type="paragraph" w:styleId="184">
    <w:name w:val="toc 5"/>
    <w:basedOn w:val="842"/>
    <w:next w:val="842"/>
    <w:uiPriority w:val="39"/>
    <w:unhideWhenUsed/>
    <w:pPr>
      <w:ind w:left="1134" w:right="0" w:firstLine="0"/>
      <w:spacing w:after="57"/>
    </w:pPr>
  </w:style>
  <w:style w:type="paragraph" w:styleId="185">
    <w:name w:val="toc 6"/>
    <w:basedOn w:val="842"/>
    <w:next w:val="842"/>
    <w:uiPriority w:val="39"/>
    <w:unhideWhenUsed/>
    <w:pPr>
      <w:ind w:left="1417" w:right="0" w:firstLine="0"/>
      <w:spacing w:after="57"/>
    </w:pPr>
  </w:style>
  <w:style w:type="paragraph" w:styleId="186">
    <w:name w:val="toc 7"/>
    <w:basedOn w:val="842"/>
    <w:next w:val="842"/>
    <w:uiPriority w:val="39"/>
    <w:unhideWhenUsed/>
    <w:pPr>
      <w:ind w:left="1701" w:right="0" w:firstLine="0"/>
      <w:spacing w:after="57"/>
    </w:pPr>
  </w:style>
  <w:style w:type="paragraph" w:styleId="187">
    <w:name w:val="toc 8"/>
    <w:basedOn w:val="842"/>
    <w:next w:val="842"/>
    <w:uiPriority w:val="39"/>
    <w:unhideWhenUsed/>
    <w:pPr>
      <w:ind w:left="1984" w:right="0" w:firstLine="0"/>
      <w:spacing w:after="57"/>
    </w:pPr>
  </w:style>
  <w:style w:type="paragraph" w:styleId="188">
    <w:name w:val="toc 9"/>
    <w:basedOn w:val="842"/>
    <w:next w:val="842"/>
    <w:uiPriority w:val="39"/>
    <w:unhideWhenUsed/>
    <w:pPr>
      <w:ind w:left="2268" w:right="0" w:firstLine="0"/>
      <w:spacing w:after="57"/>
    </w:pPr>
  </w:style>
  <w:style w:type="paragraph" w:styleId="190">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sz w:val="21"/>
      <w:lang w:val="en-US" w:eastAsia="zh-CN" w:bidi="ar-SA"/>
    </w:rPr>
  </w:style>
  <w:style w:type="paragraph" w:styleId="843">
    <w:name w:val="标题 1"/>
    <w:basedOn w:val="842"/>
    <w:next w:val="842"/>
    <w:link w:val="854"/>
    <w:uiPriority w:val="9"/>
    <w:qFormat/>
    <w:pPr>
      <w:keepLines/>
      <w:keepNext/>
      <w:spacing w:before="480" w:after="200"/>
      <w:outlineLvl w:val="0"/>
    </w:pPr>
    <w:rPr>
      <w:rFonts w:ascii="Arial" w:hAnsi="Arial" w:eastAsia="Arial" w:cs="Arial"/>
      <w:sz w:val="40"/>
      <w:szCs w:val="40"/>
    </w:rPr>
  </w:style>
  <w:style w:type="paragraph" w:styleId="844">
    <w:name w:val="标题 2"/>
    <w:basedOn w:val="842"/>
    <w:next w:val="842"/>
    <w:link w:val="855"/>
    <w:uiPriority w:val="9"/>
    <w:qFormat/>
    <w:pPr>
      <w:keepLines/>
      <w:keepNext/>
      <w:spacing w:before="360" w:after="200"/>
      <w:outlineLvl w:val="1"/>
    </w:pPr>
    <w:rPr>
      <w:rFonts w:ascii="Arial" w:hAnsi="Arial" w:eastAsia="Arial" w:cs="Arial"/>
      <w:sz w:val="34"/>
    </w:rPr>
  </w:style>
  <w:style w:type="paragraph" w:styleId="845">
    <w:name w:val="标题 3"/>
    <w:basedOn w:val="842"/>
    <w:next w:val="842"/>
    <w:link w:val="842"/>
    <w:uiPriority w:val="9"/>
    <w:qFormat/>
    <w:pPr>
      <w:keepLines/>
      <w:keepNext/>
      <w:spacing w:before="320" w:after="200"/>
      <w:outlineLvl w:val="2"/>
    </w:pPr>
    <w:rPr>
      <w:rFonts w:ascii="Arial" w:hAnsi="Arial" w:eastAsia="Arial" w:cs="Arial"/>
      <w:sz w:val="30"/>
      <w:szCs w:val="30"/>
    </w:rPr>
  </w:style>
  <w:style w:type="paragraph" w:styleId="846">
    <w:name w:val="标题 4"/>
    <w:basedOn w:val="842"/>
    <w:next w:val="842"/>
    <w:link w:val="856"/>
    <w:uiPriority w:val="9"/>
    <w:qFormat/>
    <w:pPr>
      <w:keepLines/>
      <w:keepNext/>
      <w:spacing w:before="320" w:after="200"/>
      <w:outlineLvl w:val="3"/>
    </w:pPr>
    <w:rPr>
      <w:rFonts w:ascii="Arial" w:hAnsi="Arial" w:eastAsia="Arial" w:cs="Arial"/>
      <w:b/>
      <w:bCs/>
      <w:sz w:val="26"/>
      <w:szCs w:val="26"/>
    </w:rPr>
  </w:style>
  <w:style w:type="paragraph" w:styleId="847">
    <w:name w:val="标题 5"/>
    <w:basedOn w:val="842"/>
    <w:next w:val="842"/>
    <w:link w:val="857"/>
    <w:uiPriority w:val="9"/>
    <w:qFormat/>
    <w:pPr>
      <w:keepLines/>
      <w:keepNext/>
      <w:spacing w:before="320" w:after="200"/>
      <w:outlineLvl w:val="4"/>
    </w:pPr>
    <w:rPr>
      <w:rFonts w:ascii="Arial" w:hAnsi="Arial" w:eastAsia="Arial" w:cs="Arial"/>
      <w:b/>
      <w:bCs/>
      <w:sz w:val="24"/>
      <w:szCs w:val="24"/>
    </w:rPr>
  </w:style>
  <w:style w:type="paragraph" w:styleId="848">
    <w:name w:val="标题 6"/>
    <w:basedOn w:val="842"/>
    <w:next w:val="842"/>
    <w:link w:val="858"/>
    <w:uiPriority w:val="9"/>
    <w:qFormat/>
    <w:pPr>
      <w:keepLines/>
      <w:keepNext/>
      <w:spacing w:before="320" w:after="200"/>
      <w:outlineLvl w:val="5"/>
    </w:pPr>
    <w:rPr>
      <w:rFonts w:ascii="Arial" w:hAnsi="Arial" w:eastAsia="Arial" w:cs="Arial"/>
      <w:b/>
      <w:bCs/>
      <w:sz w:val="22"/>
      <w:szCs w:val="22"/>
    </w:rPr>
  </w:style>
  <w:style w:type="paragraph" w:styleId="849">
    <w:name w:val="标题 7"/>
    <w:basedOn w:val="842"/>
    <w:next w:val="842"/>
    <w:link w:val="859"/>
    <w:uiPriority w:val="9"/>
    <w:qFormat/>
    <w:pPr>
      <w:keepLines/>
      <w:keepNext/>
      <w:spacing w:before="320" w:after="200"/>
      <w:outlineLvl w:val="6"/>
    </w:pPr>
    <w:rPr>
      <w:rFonts w:ascii="Arial" w:hAnsi="Arial" w:eastAsia="Arial" w:cs="Arial"/>
      <w:b/>
      <w:bCs/>
      <w:i/>
      <w:iCs/>
      <w:sz w:val="22"/>
      <w:szCs w:val="22"/>
    </w:rPr>
  </w:style>
  <w:style w:type="paragraph" w:styleId="850">
    <w:name w:val="标题 8"/>
    <w:basedOn w:val="842"/>
    <w:next w:val="842"/>
    <w:link w:val="860"/>
    <w:uiPriority w:val="9"/>
    <w:qFormat/>
    <w:pPr>
      <w:keepLines/>
      <w:keepNext/>
      <w:spacing w:before="320" w:after="200"/>
      <w:outlineLvl w:val="7"/>
    </w:pPr>
    <w:rPr>
      <w:rFonts w:ascii="Arial" w:hAnsi="Arial" w:eastAsia="Arial" w:cs="Arial"/>
      <w:i/>
      <w:iCs/>
      <w:sz w:val="22"/>
      <w:szCs w:val="22"/>
    </w:rPr>
  </w:style>
  <w:style w:type="paragraph" w:styleId="851">
    <w:name w:val="标题 9"/>
    <w:basedOn w:val="842"/>
    <w:next w:val="842"/>
    <w:link w:val="861"/>
    <w:uiPriority w:val="9"/>
    <w:qFormat/>
    <w:pPr>
      <w:keepLines/>
      <w:keepNext/>
      <w:spacing w:before="320" w:after="200"/>
      <w:outlineLvl w:val="8"/>
    </w:pPr>
    <w:rPr>
      <w:rFonts w:ascii="Arial" w:hAnsi="Arial" w:eastAsia="Arial" w:cs="Arial"/>
      <w:i/>
      <w:iCs/>
      <w:sz w:val="21"/>
      <w:szCs w:val="21"/>
    </w:rPr>
  </w:style>
  <w:style w:type="character" w:styleId="852">
    <w:name w:val="默认段落字体"/>
    <w:next w:val="852"/>
    <w:link w:val="842"/>
    <w:semiHidden/>
    <w:qFormat/>
  </w:style>
  <w:style w:type="table" w:styleId="853">
    <w:name w:val="普通表格"/>
    <w:next w:val="853"/>
    <w:link w:val="842"/>
    <w:semiHidden/>
    <w:qFormat/>
    <w:tblPr/>
  </w:style>
  <w:style w:type="character" w:styleId="854">
    <w:name w:val="标题 1 字符"/>
    <w:next w:val="854"/>
    <w:link w:val="843"/>
    <w:uiPriority w:val="9"/>
    <w:rPr>
      <w:rFonts w:ascii="Arial" w:hAnsi="Arial" w:eastAsia="Arial" w:cs="Arial"/>
      <w:sz w:val="40"/>
      <w:szCs w:val="40"/>
    </w:rPr>
  </w:style>
  <w:style w:type="character" w:styleId="855">
    <w:name w:val="标题 2 字符"/>
    <w:next w:val="855"/>
    <w:link w:val="844"/>
    <w:uiPriority w:val="9"/>
    <w:rPr>
      <w:rFonts w:ascii="Arial" w:hAnsi="Arial" w:eastAsia="Arial" w:cs="Arial"/>
      <w:sz w:val="34"/>
    </w:rPr>
  </w:style>
  <w:style w:type="character" w:styleId="856">
    <w:name w:val="标题 4 字符"/>
    <w:next w:val="856"/>
    <w:link w:val="846"/>
    <w:uiPriority w:val="9"/>
    <w:rPr>
      <w:rFonts w:ascii="Arial" w:hAnsi="Arial" w:eastAsia="Arial" w:cs="Arial"/>
      <w:b/>
      <w:bCs/>
      <w:sz w:val="26"/>
      <w:szCs w:val="26"/>
    </w:rPr>
  </w:style>
  <w:style w:type="character" w:styleId="857">
    <w:name w:val="标题 5 字符"/>
    <w:next w:val="857"/>
    <w:link w:val="847"/>
    <w:uiPriority w:val="9"/>
    <w:rPr>
      <w:rFonts w:ascii="Arial" w:hAnsi="Arial" w:eastAsia="Arial" w:cs="Arial"/>
      <w:b/>
      <w:bCs/>
      <w:sz w:val="24"/>
      <w:szCs w:val="24"/>
    </w:rPr>
  </w:style>
  <w:style w:type="character" w:styleId="858">
    <w:name w:val="标题 6 字符"/>
    <w:next w:val="858"/>
    <w:link w:val="848"/>
    <w:uiPriority w:val="9"/>
    <w:rPr>
      <w:rFonts w:ascii="Arial" w:hAnsi="Arial" w:eastAsia="Arial" w:cs="Arial"/>
      <w:b/>
      <w:bCs/>
      <w:sz w:val="22"/>
      <w:szCs w:val="22"/>
    </w:rPr>
  </w:style>
  <w:style w:type="character" w:styleId="859">
    <w:name w:val="标题 7 字符"/>
    <w:next w:val="859"/>
    <w:link w:val="849"/>
    <w:uiPriority w:val="9"/>
    <w:rPr>
      <w:rFonts w:ascii="Arial" w:hAnsi="Arial" w:eastAsia="Arial" w:cs="Arial"/>
      <w:b/>
      <w:bCs/>
      <w:i/>
      <w:iCs/>
      <w:sz w:val="22"/>
      <w:szCs w:val="22"/>
    </w:rPr>
  </w:style>
  <w:style w:type="character" w:styleId="860">
    <w:name w:val="标题 8 字符"/>
    <w:next w:val="860"/>
    <w:link w:val="850"/>
    <w:uiPriority w:val="9"/>
    <w:rPr>
      <w:rFonts w:ascii="Arial" w:hAnsi="Arial" w:eastAsia="Arial" w:cs="Arial"/>
      <w:i/>
      <w:iCs/>
      <w:sz w:val="22"/>
      <w:szCs w:val="22"/>
    </w:rPr>
  </w:style>
  <w:style w:type="character" w:styleId="861">
    <w:name w:val="标题 9 字符"/>
    <w:next w:val="861"/>
    <w:link w:val="851"/>
    <w:uiPriority w:val="9"/>
    <w:rPr>
      <w:rFonts w:ascii="Arial" w:hAnsi="Arial" w:eastAsia="Arial" w:cs="Arial"/>
      <w:i/>
      <w:iCs/>
      <w:sz w:val="21"/>
      <w:szCs w:val="21"/>
    </w:rPr>
  </w:style>
  <w:style w:type="paragraph" w:styleId="862">
    <w:name w:val="目录 7"/>
    <w:basedOn w:val="842"/>
    <w:next w:val="842"/>
    <w:link w:val="842"/>
    <w:uiPriority w:val="39"/>
    <w:unhideWhenUsed/>
    <w:pPr>
      <w:ind w:left="1701" w:right="0" w:firstLine="0"/>
      <w:spacing w:after="57"/>
    </w:pPr>
  </w:style>
  <w:style w:type="paragraph" w:styleId="863">
    <w:name w:val="正文缩进"/>
    <w:basedOn w:val="842"/>
    <w:next w:val="842"/>
    <w:link w:val="842"/>
    <w:qFormat/>
    <w:pPr>
      <w:ind w:firstLine="420"/>
    </w:pPr>
  </w:style>
  <w:style w:type="paragraph" w:styleId="864">
    <w:name w:val="题注"/>
    <w:basedOn w:val="842"/>
    <w:next w:val="842"/>
    <w:link w:val="842"/>
    <w:uiPriority w:val="35"/>
    <w:qFormat/>
    <w:pPr>
      <w:spacing w:line="276" w:lineRule="auto"/>
    </w:pPr>
    <w:rPr>
      <w:b/>
      <w:bCs/>
      <w:color w:val="4874cb"/>
      <w:sz w:val="18"/>
      <w:szCs w:val="18"/>
    </w:rPr>
  </w:style>
  <w:style w:type="paragraph" w:styleId="865">
    <w:name w:val="批注文字"/>
    <w:basedOn w:val="842"/>
    <w:next w:val="865"/>
    <w:link w:val="842"/>
    <w:uiPriority w:val="99"/>
    <w:unhideWhenUsed/>
    <w:pPr>
      <w:jc w:val="left"/>
    </w:pPr>
  </w:style>
  <w:style w:type="paragraph" w:styleId="866">
    <w:name w:val="正文文本"/>
    <w:basedOn w:val="842"/>
    <w:next w:val="866"/>
    <w:link w:val="842"/>
    <w:uiPriority w:val="99"/>
    <w:qFormat/>
    <w:rPr>
      <w:rFonts w:ascii="华文中宋" w:eastAsia="华文中宋"/>
      <w:bCs/>
      <w:sz w:val="28"/>
    </w:rPr>
  </w:style>
  <w:style w:type="paragraph" w:styleId="867">
    <w:name w:val="正文文本缩进"/>
    <w:basedOn w:val="842"/>
    <w:next w:val="867"/>
    <w:link w:val="842"/>
    <w:qFormat/>
    <w:pPr>
      <w:ind w:firstLine="560"/>
    </w:pPr>
    <w:rPr>
      <w:rFonts w:ascii="仿宋_GB2312" w:eastAsia="仿宋_GB2312"/>
      <w:sz w:val="28"/>
    </w:rPr>
  </w:style>
  <w:style w:type="paragraph" w:styleId="868">
    <w:name w:val="索引 4"/>
    <w:basedOn w:val="842"/>
    <w:next w:val="842"/>
    <w:link w:val="842"/>
    <w:uiPriority w:val="99"/>
    <w:qFormat/>
    <w:pPr>
      <w:ind w:left="600"/>
    </w:pPr>
    <w:rPr>
      <w:szCs w:val="24"/>
    </w:rPr>
  </w:style>
  <w:style w:type="paragraph" w:styleId="869">
    <w:name w:val="目录 5"/>
    <w:basedOn w:val="842"/>
    <w:next w:val="842"/>
    <w:link w:val="842"/>
    <w:uiPriority w:val="39"/>
    <w:unhideWhenUsed/>
    <w:pPr>
      <w:ind w:left="1134" w:right="0" w:firstLine="0"/>
      <w:spacing w:after="57"/>
    </w:pPr>
  </w:style>
  <w:style w:type="paragraph" w:styleId="870">
    <w:name w:val="目录 3"/>
    <w:basedOn w:val="842"/>
    <w:next w:val="842"/>
    <w:link w:val="842"/>
    <w:uiPriority w:val="39"/>
    <w:unhideWhenUsed/>
    <w:pPr>
      <w:ind w:left="567" w:right="0" w:firstLine="0"/>
      <w:spacing w:after="57"/>
    </w:pPr>
  </w:style>
  <w:style w:type="paragraph" w:styleId="871">
    <w:name w:val="纯文本"/>
    <w:basedOn w:val="842"/>
    <w:next w:val="871"/>
    <w:link w:val="842"/>
    <w:qFormat/>
    <w:pPr>
      <w:jc w:val="left"/>
      <w:widowControl/>
    </w:pPr>
    <w:rPr>
      <w:rFonts w:ascii="宋体" w:hAnsi="Courier New"/>
    </w:rPr>
  </w:style>
  <w:style w:type="paragraph" w:styleId="872">
    <w:name w:val="目录 8"/>
    <w:basedOn w:val="842"/>
    <w:next w:val="842"/>
    <w:link w:val="842"/>
    <w:uiPriority w:val="39"/>
    <w:unhideWhenUsed/>
    <w:pPr>
      <w:ind w:left="1984" w:right="0" w:firstLine="0"/>
      <w:spacing w:after="57"/>
    </w:pPr>
  </w:style>
  <w:style w:type="paragraph" w:styleId="873">
    <w:name w:val="尾注文本"/>
    <w:basedOn w:val="842"/>
    <w:next w:val="873"/>
    <w:link w:val="874"/>
    <w:uiPriority w:val="99"/>
    <w:unhideWhenUsed/>
    <w:qFormat/>
    <w:pPr>
      <w:spacing w:after="0" w:line="240" w:lineRule="auto"/>
    </w:pPr>
    <w:rPr>
      <w:sz w:val="20"/>
    </w:rPr>
  </w:style>
  <w:style w:type="character" w:styleId="874">
    <w:name w:val="尾注文本 字符"/>
    <w:next w:val="874"/>
    <w:link w:val="873"/>
    <w:uiPriority w:val="99"/>
    <w:rPr>
      <w:sz w:val="20"/>
    </w:rPr>
  </w:style>
  <w:style w:type="paragraph" w:styleId="875">
    <w:name w:val="页脚"/>
    <w:basedOn w:val="842"/>
    <w:next w:val="875"/>
    <w:link w:val="842"/>
    <w:uiPriority w:val="99"/>
    <w:unhideWhenUsed/>
    <w:qFormat/>
    <w:pPr>
      <w:spacing w:after="0" w:line="240" w:lineRule="auto"/>
      <w:tabs>
        <w:tab w:val="center" w:pos="7143" w:leader="none"/>
        <w:tab w:val="right" w:pos="14287" w:leader="none"/>
      </w:tabs>
    </w:pPr>
  </w:style>
  <w:style w:type="paragraph" w:styleId="876">
    <w:name w:val="页眉"/>
    <w:basedOn w:val="842"/>
    <w:next w:val="876"/>
    <w:link w:val="842"/>
    <w:uiPriority w:val="99"/>
    <w:unhideWhenUsed/>
    <w:qFormat/>
    <w:pPr>
      <w:spacing w:after="0" w:line="240" w:lineRule="auto"/>
      <w:tabs>
        <w:tab w:val="center" w:pos="7143" w:leader="none"/>
        <w:tab w:val="right" w:pos="14287" w:leader="none"/>
      </w:tabs>
    </w:pPr>
  </w:style>
  <w:style w:type="paragraph" w:styleId="877">
    <w:name w:val="目录 1"/>
    <w:basedOn w:val="842"/>
    <w:next w:val="842"/>
    <w:link w:val="842"/>
    <w:uiPriority w:val="39"/>
    <w:unhideWhenUsed/>
    <w:pPr>
      <w:ind w:left="0" w:right="0" w:firstLine="0"/>
      <w:spacing w:after="57"/>
    </w:pPr>
  </w:style>
  <w:style w:type="paragraph" w:styleId="878">
    <w:name w:val="目录 4"/>
    <w:basedOn w:val="842"/>
    <w:next w:val="842"/>
    <w:link w:val="842"/>
    <w:uiPriority w:val="39"/>
    <w:unhideWhenUsed/>
    <w:pPr>
      <w:ind w:left="850" w:right="0" w:firstLine="0"/>
      <w:spacing w:after="57"/>
    </w:pPr>
  </w:style>
  <w:style w:type="paragraph" w:styleId="879">
    <w:name w:val="副标题"/>
    <w:basedOn w:val="842"/>
    <w:next w:val="842"/>
    <w:link w:val="880"/>
    <w:uiPriority w:val="11"/>
    <w:qFormat/>
    <w:pPr>
      <w:spacing w:before="200" w:after="200"/>
    </w:pPr>
    <w:rPr>
      <w:sz w:val="24"/>
      <w:szCs w:val="24"/>
    </w:rPr>
  </w:style>
  <w:style w:type="character" w:styleId="880">
    <w:name w:val="副标题 字符"/>
    <w:next w:val="880"/>
    <w:link w:val="879"/>
    <w:uiPriority w:val="11"/>
    <w:rPr>
      <w:sz w:val="24"/>
      <w:szCs w:val="24"/>
    </w:rPr>
  </w:style>
  <w:style w:type="paragraph" w:styleId="881">
    <w:name w:val="脚注文本"/>
    <w:basedOn w:val="842"/>
    <w:next w:val="881"/>
    <w:link w:val="882"/>
    <w:uiPriority w:val="99"/>
    <w:unhideWhenUsed/>
    <w:qFormat/>
    <w:pPr>
      <w:spacing w:after="40" w:line="240" w:lineRule="auto"/>
    </w:pPr>
    <w:rPr>
      <w:sz w:val="18"/>
    </w:rPr>
  </w:style>
  <w:style w:type="character" w:styleId="882">
    <w:name w:val="脚注文本 字符"/>
    <w:next w:val="882"/>
    <w:link w:val="881"/>
    <w:uiPriority w:val="99"/>
    <w:rPr>
      <w:sz w:val="18"/>
    </w:rPr>
  </w:style>
  <w:style w:type="paragraph" w:styleId="883">
    <w:name w:val="目录 6"/>
    <w:basedOn w:val="842"/>
    <w:next w:val="842"/>
    <w:link w:val="842"/>
    <w:uiPriority w:val="39"/>
    <w:unhideWhenUsed/>
    <w:pPr>
      <w:ind w:left="1417" w:right="0" w:firstLine="0"/>
      <w:spacing w:after="57"/>
    </w:pPr>
  </w:style>
  <w:style w:type="paragraph" w:styleId="884">
    <w:name w:val="图表目录"/>
    <w:basedOn w:val="842"/>
    <w:next w:val="842"/>
    <w:link w:val="842"/>
    <w:uiPriority w:val="99"/>
    <w:unhideWhenUsed/>
    <w:pPr>
      <w:spacing w:after="0" w:afterAutospacing="0"/>
    </w:pPr>
  </w:style>
  <w:style w:type="paragraph" w:styleId="885">
    <w:name w:val="目录 2"/>
    <w:basedOn w:val="842"/>
    <w:next w:val="842"/>
    <w:link w:val="842"/>
    <w:uiPriority w:val="39"/>
    <w:unhideWhenUsed/>
    <w:pPr>
      <w:ind w:left="283" w:right="0" w:firstLine="0"/>
      <w:spacing w:after="57"/>
    </w:pPr>
  </w:style>
  <w:style w:type="paragraph" w:styleId="886">
    <w:name w:val="目录 9"/>
    <w:basedOn w:val="842"/>
    <w:next w:val="842"/>
    <w:link w:val="842"/>
    <w:uiPriority w:val="39"/>
    <w:unhideWhenUsed/>
    <w:qFormat/>
    <w:pPr>
      <w:ind w:left="2268" w:right="0" w:firstLine="0"/>
      <w:spacing w:after="57"/>
    </w:pPr>
  </w:style>
  <w:style w:type="paragraph" w:styleId="887">
    <w:name w:val="普通(网站)"/>
    <w:basedOn w:val="842"/>
    <w:next w:val="887"/>
    <w:link w:val="842"/>
    <w:qFormat/>
    <w:pPr>
      <w:jc w:val="left"/>
      <w:spacing w:beforeAutospacing="1" w:afterAutospacing="1"/>
    </w:pPr>
    <w:rPr>
      <w:rFonts w:cs="Times New Roman"/>
      <w:sz w:val="24"/>
    </w:rPr>
  </w:style>
  <w:style w:type="paragraph" w:styleId="888">
    <w:name w:val="标题"/>
    <w:basedOn w:val="842"/>
    <w:next w:val="842"/>
    <w:link w:val="889"/>
    <w:uiPriority w:val="10"/>
    <w:qFormat/>
    <w:pPr>
      <w:contextualSpacing/>
      <w:spacing w:before="300" w:after="200"/>
    </w:pPr>
    <w:rPr>
      <w:sz w:val="48"/>
      <w:szCs w:val="48"/>
    </w:rPr>
  </w:style>
  <w:style w:type="character" w:styleId="889">
    <w:name w:val="标题 字符"/>
    <w:next w:val="889"/>
    <w:link w:val="888"/>
    <w:uiPriority w:val="10"/>
    <w:rPr>
      <w:sz w:val="48"/>
      <w:szCs w:val="48"/>
    </w:rPr>
  </w:style>
  <w:style w:type="paragraph" w:styleId="890">
    <w:name w:val="正文首行缩进"/>
    <w:basedOn w:val="866"/>
    <w:next w:val="890"/>
    <w:link w:val="842"/>
    <w:qFormat/>
    <w:pPr>
      <w:ind w:firstLine="420"/>
    </w:pPr>
  </w:style>
  <w:style w:type="table" w:styleId="891">
    <w:name w:val="网格型"/>
    <w:next w:val="891"/>
    <w:link w:val="842"/>
    <w:uiPriority w:val="59"/>
    <w:qFormat/>
    <w:rPr>
      <w:lang w:val="en-US" w:eastAsia="zh-CN" w:bidi="ar-SA"/>
    </w:rPr>
    <w:tblPr/>
  </w:style>
  <w:style w:type="character" w:styleId="892">
    <w:name w:val="要点"/>
    <w:basedOn w:val="852"/>
    <w:next w:val="892"/>
    <w:link w:val="842"/>
    <w:uiPriority w:val="22"/>
    <w:qFormat/>
    <w:rPr>
      <w:b/>
    </w:rPr>
  </w:style>
  <w:style w:type="character" w:styleId="893">
    <w:name w:val="尾注引用"/>
    <w:next w:val="893"/>
    <w:link w:val="842"/>
    <w:uiPriority w:val="99"/>
    <w:unhideWhenUsed/>
    <w:rPr>
      <w:vertAlign w:val="superscript"/>
    </w:rPr>
  </w:style>
  <w:style w:type="character" w:styleId="894">
    <w:name w:val="页码"/>
    <w:next w:val="894"/>
    <w:link w:val="842"/>
    <w:qFormat/>
  </w:style>
  <w:style w:type="character" w:styleId="895">
    <w:name w:val="强调"/>
    <w:next w:val="895"/>
    <w:link w:val="842"/>
    <w:qFormat/>
    <w:rPr>
      <w:rFonts w:ascii="Times New Roman" w:hAnsi="Times New Roman" w:eastAsia="宋体" w:cs="Times New Roman"/>
    </w:rPr>
  </w:style>
  <w:style w:type="character" w:styleId="896">
    <w:name w:val="超链接"/>
    <w:next w:val="896"/>
    <w:link w:val="842"/>
    <w:uiPriority w:val="99"/>
    <w:unhideWhenUsed/>
    <w:rPr>
      <w:color w:val="0026e5"/>
      <w:u w:val="single"/>
    </w:rPr>
  </w:style>
  <w:style w:type="character" w:styleId="897">
    <w:name w:val="脚注引用"/>
    <w:next w:val="897"/>
    <w:link w:val="842"/>
    <w:uiPriority w:val="99"/>
    <w:unhideWhenUsed/>
    <w:qFormat/>
    <w:rPr>
      <w:vertAlign w:val="superscript"/>
    </w:rPr>
  </w:style>
  <w:style w:type="character" w:styleId="898">
    <w:name w:val="要点1"/>
    <w:next w:val="898"/>
    <w:link w:val="842"/>
    <w:qFormat/>
    <w:rPr>
      <w:rFonts w:ascii="Times New Roman" w:hAnsi="Times New Roman" w:eastAsia="宋体" w:cs="Times New Roman"/>
      <w:sz w:val="21"/>
      <w:lang w:val="en-US" w:eastAsia="zh-CN" w:bidi="ar-SA"/>
    </w:rPr>
  </w:style>
  <w:style w:type="character" w:styleId="899">
    <w:name w:val="页码1"/>
    <w:next w:val="899"/>
    <w:link w:val="842"/>
    <w:uiPriority w:val="99"/>
    <w:qFormat/>
  </w:style>
  <w:style w:type="paragraph" w:styleId="900">
    <w:name w:val="正文文本1"/>
    <w:basedOn w:val="842"/>
    <w:next w:val="900"/>
    <w:link w:val="842"/>
    <w:qFormat/>
    <w:rPr>
      <w:rFonts w:ascii="宋体"/>
      <w:sz w:val="28"/>
    </w:rPr>
  </w:style>
  <w:style w:type="character" w:styleId="901">
    <w:name w:val="Heading 3 Char"/>
    <w:next w:val="901"/>
    <w:link w:val="842"/>
    <w:uiPriority w:val="9"/>
    <w:rPr>
      <w:rFonts w:ascii="Arial" w:hAnsi="Arial" w:eastAsia="Arial" w:cs="Arial"/>
      <w:sz w:val="30"/>
      <w:szCs w:val="30"/>
    </w:rPr>
  </w:style>
  <w:style w:type="paragraph" w:styleId="902">
    <w:name w:val="无间隔"/>
    <w:next w:val="902"/>
    <w:link w:val="842"/>
    <w:uiPriority w:val="1"/>
    <w:qFormat/>
    <w:rPr>
      <w:rFonts w:ascii="等线" w:hAnsi="等线" w:eastAsia="等线"/>
      <w:lang w:val="en-US" w:eastAsia="zh-CN" w:bidi="ar-SA"/>
    </w:rPr>
  </w:style>
  <w:style w:type="paragraph" w:styleId="903">
    <w:name w:val="引用"/>
    <w:basedOn w:val="842"/>
    <w:next w:val="842"/>
    <w:link w:val="904"/>
    <w:uiPriority w:val="29"/>
    <w:qFormat/>
    <w:pPr>
      <w:ind w:left="720" w:right="720"/>
    </w:pPr>
    <w:rPr>
      <w:i/>
    </w:rPr>
  </w:style>
  <w:style w:type="character" w:styleId="904">
    <w:name w:val="引用 字符"/>
    <w:next w:val="904"/>
    <w:link w:val="903"/>
    <w:uiPriority w:val="29"/>
    <w:rPr>
      <w:i/>
    </w:rPr>
  </w:style>
  <w:style w:type="paragraph" w:styleId="905">
    <w:name w:val="明显引用"/>
    <w:basedOn w:val="842"/>
    <w:next w:val="842"/>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name w:val="明显引用 字符"/>
    <w:next w:val="906"/>
    <w:link w:val="905"/>
    <w:uiPriority w:val="30"/>
    <w:rPr>
      <w:i/>
    </w:rPr>
  </w:style>
  <w:style w:type="character" w:styleId="907">
    <w:name w:val="Header Char"/>
    <w:next w:val="907"/>
    <w:link w:val="842"/>
    <w:uiPriority w:val="99"/>
  </w:style>
  <w:style w:type="character" w:styleId="908">
    <w:name w:val="Footer Char"/>
    <w:next w:val="908"/>
    <w:link w:val="842"/>
    <w:uiPriority w:val="99"/>
  </w:style>
  <w:style w:type="character" w:styleId="909">
    <w:name w:val="Caption Char"/>
    <w:next w:val="909"/>
    <w:link w:val="842"/>
    <w:uiPriority w:val="99"/>
  </w:style>
  <w:style w:type="table" w:styleId="910">
    <w:name w:val="Table Grid Light"/>
    <w:basedOn w:val="853"/>
    <w:next w:val="910"/>
    <w:link w:val="842"/>
    <w:uiPriority w:val="59"/>
    <w:pPr>
      <w:spacing w:after="0" w:line="240" w:lineRule="auto"/>
    </w:pPr>
    <w:tblPr/>
  </w:style>
  <w:style w:type="table" w:styleId="911">
    <w:name w:val="Plain Table 1"/>
    <w:basedOn w:val="853"/>
    <w:next w:val="911"/>
    <w:link w:val="842"/>
    <w:uiPriority w:val="59"/>
    <w:pPr>
      <w:spacing w:after="0" w:line="240" w:lineRule="auto"/>
    </w:pPr>
    <w:tblPr/>
  </w:style>
  <w:style w:type="table" w:styleId="912">
    <w:name w:val="Plain Table 2"/>
    <w:basedOn w:val="853"/>
    <w:next w:val="912"/>
    <w:link w:val="842"/>
    <w:uiPriority w:val="59"/>
    <w:pPr>
      <w:spacing w:after="0" w:line="240" w:lineRule="auto"/>
    </w:pPr>
    <w:tblPr/>
  </w:style>
  <w:style w:type="table" w:styleId="913">
    <w:name w:val="Plain Table 3"/>
    <w:basedOn w:val="853"/>
    <w:next w:val="913"/>
    <w:link w:val="842"/>
    <w:uiPriority w:val="99"/>
    <w:pPr>
      <w:spacing w:after="0" w:line="240" w:lineRule="auto"/>
    </w:pPr>
    <w:tblPr/>
  </w:style>
  <w:style w:type="table" w:styleId="914">
    <w:name w:val="Plain Table 4"/>
    <w:basedOn w:val="853"/>
    <w:next w:val="914"/>
    <w:link w:val="842"/>
    <w:uiPriority w:val="99"/>
    <w:pPr>
      <w:spacing w:after="0" w:line="240" w:lineRule="auto"/>
    </w:pPr>
    <w:tblPr/>
  </w:style>
  <w:style w:type="table" w:styleId="915">
    <w:name w:val="Plain Table 5"/>
    <w:basedOn w:val="853"/>
    <w:next w:val="915"/>
    <w:link w:val="842"/>
    <w:uiPriority w:val="99"/>
    <w:pPr>
      <w:spacing w:after="0" w:line="240" w:lineRule="auto"/>
    </w:pPr>
    <w:tblPr/>
  </w:style>
  <w:style w:type="table" w:styleId="916">
    <w:name w:val="Grid Table 1 Light"/>
    <w:basedOn w:val="853"/>
    <w:next w:val="916"/>
    <w:link w:val="842"/>
    <w:uiPriority w:val="99"/>
    <w:pPr>
      <w:spacing w:after="0" w:line="240" w:lineRule="auto"/>
    </w:pPr>
    <w:tblPr/>
  </w:style>
  <w:style w:type="table" w:styleId="917">
    <w:name w:val="Grid Table 1 Light - Accent 1"/>
    <w:basedOn w:val="853"/>
    <w:next w:val="917"/>
    <w:link w:val="842"/>
    <w:uiPriority w:val="99"/>
    <w:pPr>
      <w:spacing w:after="0" w:line="240" w:lineRule="auto"/>
    </w:pPr>
    <w:tblPr/>
  </w:style>
  <w:style w:type="table" w:styleId="918">
    <w:name w:val="Grid Table 1 Light - Accent 2"/>
    <w:basedOn w:val="853"/>
    <w:next w:val="918"/>
    <w:link w:val="842"/>
    <w:uiPriority w:val="99"/>
    <w:pPr>
      <w:spacing w:after="0" w:line="240" w:lineRule="auto"/>
    </w:pPr>
    <w:tblPr/>
  </w:style>
  <w:style w:type="table" w:styleId="919">
    <w:name w:val="Grid Table 1 Light - Accent 3"/>
    <w:basedOn w:val="853"/>
    <w:next w:val="919"/>
    <w:link w:val="842"/>
    <w:uiPriority w:val="99"/>
    <w:pPr>
      <w:spacing w:after="0" w:line="240" w:lineRule="auto"/>
    </w:pPr>
    <w:tblPr/>
  </w:style>
  <w:style w:type="table" w:styleId="920">
    <w:name w:val="Grid Table 1 Light - Accent 4"/>
    <w:basedOn w:val="853"/>
    <w:next w:val="920"/>
    <w:link w:val="842"/>
    <w:uiPriority w:val="99"/>
    <w:pPr>
      <w:spacing w:after="0" w:line="240" w:lineRule="auto"/>
    </w:pPr>
    <w:tblPr/>
  </w:style>
  <w:style w:type="table" w:styleId="921">
    <w:name w:val="Grid Table 1 Light - Accent 5"/>
    <w:basedOn w:val="853"/>
    <w:next w:val="921"/>
    <w:link w:val="842"/>
    <w:uiPriority w:val="99"/>
    <w:pPr>
      <w:spacing w:after="0" w:line="240" w:lineRule="auto"/>
    </w:pPr>
    <w:tblPr/>
  </w:style>
  <w:style w:type="table" w:styleId="922">
    <w:name w:val="Grid Table 1 Light - Accent 6"/>
    <w:basedOn w:val="853"/>
    <w:next w:val="922"/>
    <w:link w:val="842"/>
    <w:uiPriority w:val="99"/>
    <w:pPr>
      <w:spacing w:after="0" w:line="240" w:lineRule="auto"/>
    </w:pPr>
    <w:tblPr/>
  </w:style>
  <w:style w:type="table" w:styleId="923">
    <w:name w:val="Grid Table 2"/>
    <w:basedOn w:val="853"/>
    <w:next w:val="923"/>
    <w:link w:val="842"/>
    <w:uiPriority w:val="99"/>
    <w:pPr>
      <w:spacing w:after="0" w:line="240" w:lineRule="auto"/>
    </w:pPr>
    <w:tblPr/>
  </w:style>
  <w:style w:type="table" w:styleId="924">
    <w:name w:val="Grid Table 2 - Accent 1"/>
    <w:basedOn w:val="853"/>
    <w:next w:val="924"/>
    <w:link w:val="842"/>
    <w:uiPriority w:val="99"/>
    <w:pPr>
      <w:spacing w:after="0" w:line="240" w:lineRule="auto"/>
    </w:pPr>
    <w:tblPr/>
  </w:style>
  <w:style w:type="table" w:styleId="925">
    <w:name w:val="Grid Table 2 - Accent 2"/>
    <w:basedOn w:val="853"/>
    <w:next w:val="925"/>
    <w:link w:val="842"/>
    <w:uiPriority w:val="99"/>
    <w:pPr>
      <w:spacing w:after="0" w:line="240" w:lineRule="auto"/>
    </w:pPr>
    <w:tblPr/>
  </w:style>
  <w:style w:type="table" w:styleId="926">
    <w:name w:val="Grid Table 2 - Accent 3"/>
    <w:basedOn w:val="853"/>
    <w:next w:val="926"/>
    <w:link w:val="842"/>
    <w:uiPriority w:val="99"/>
    <w:pPr>
      <w:spacing w:after="0" w:line="240" w:lineRule="auto"/>
    </w:pPr>
    <w:tblPr/>
  </w:style>
  <w:style w:type="table" w:styleId="927">
    <w:name w:val="Grid Table 2 - Accent 4"/>
    <w:basedOn w:val="853"/>
    <w:next w:val="927"/>
    <w:link w:val="842"/>
    <w:uiPriority w:val="99"/>
    <w:pPr>
      <w:spacing w:after="0" w:line="240" w:lineRule="auto"/>
    </w:pPr>
    <w:tblPr/>
  </w:style>
  <w:style w:type="table" w:styleId="928">
    <w:name w:val="Grid Table 2 - Accent 5"/>
    <w:basedOn w:val="853"/>
    <w:next w:val="928"/>
    <w:link w:val="842"/>
    <w:uiPriority w:val="99"/>
    <w:pPr>
      <w:spacing w:after="0" w:line="240" w:lineRule="auto"/>
    </w:pPr>
    <w:tblPr/>
  </w:style>
  <w:style w:type="table" w:styleId="929">
    <w:name w:val="Grid Table 2 - Accent 6"/>
    <w:basedOn w:val="853"/>
    <w:next w:val="929"/>
    <w:link w:val="842"/>
    <w:uiPriority w:val="99"/>
    <w:pPr>
      <w:spacing w:after="0" w:line="240" w:lineRule="auto"/>
    </w:pPr>
    <w:tblPr/>
  </w:style>
  <w:style w:type="table" w:styleId="930">
    <w:name w:val="Grid Table 3"/>
    <w:basedOn w:val="853"/>
    <w:next w:val="930"/>
    <w:link w:val="842"/>
    <w:uiPriority w:val="99"/>
    <w:pPr>
      <w:spacing w:after="0" w:line="240" w:lineRule="auto"/>
    </w:pPr>
    <w:tblPr/>
  </w:style>
  <w:style w:type="table" w:styleId="931">
    <w:name w:val="Grid Table 3 - Accent 1"/>
    <w:basedOn w:val="853"/>
    <w:next w:val="931"/>
    <w:link w:val="842"/>
    <w:uiPriority w:val="99"/>
    <w:pPr>
      <w:spacing w:after="0" w:line="240" w:lineRule="auto"/>
    </w:pPr>
    <w:tblPr/>
  </w:style>
  <w:style w:type="table" w:styleId="932">
    <w:name w:val="Grid Table 3 - Accent 2"/>
    <w:basedOn w:val="853"/>
    <w:next w:val="932"/>
    <w:link w:val="842"/>
    <w:uiPriority w:val="99"/>
    <w:pPr>
      <w:spacing w:after="0" w:line="240" w:lineRule="auto"/>
    </w:pPr>
    <w:tblPr/>
  </w:style>
  <w:style w:type="table" w:styleId="933">
    <w:name w:val="Grid Table 3 - Accent 3"/>
    <w:basedOn w:val="853"/>
    <w:next w:val="933"/>
    <w:link w:val="842"/>
    <w:uiPriority w:val="99"/>
    <w:pPr>
      <w:spacing w:after="0" w:line="240" w:lineRule="auto"/>
    </w:pPr>
    <w:tblPr/>
  </w:style>
  <w:style w:type="table" w:styleId="934">
    <w:name w:val="Grid Table 3 - Accent 4"/>
    <w:basedOn w:val="853"/>
    <w:next w:val="934"/>
    <w:link w:val="842"/>
    <w:uiPriority w:val="99"/>
    <w:pPr>
      <w:spacing w:after="0" w:line="240" w:lineRule="auto"/>
    </w:pPr>
    <w:tblPr/>
  </w:style>
  <w:style w:type="table" w:styleId="935">
    <w:name w:val="Grid Table 3 - Accent 5"/>
    <w:basedOn w:val="853"/>
    <w:next w:val="935"/>
    <w:link w:val="842"/>
    <w:uiPriority w:val="99"/>
    <w:pPr>
      <w:spacing w:after="0" w:line="240" w:lineRule="auto"/>
    </w:pPr>
    <w:tblPr/>
  </w:style>
  <w:style w:type="table" w:styleId="936">
    <w:name w:val="Grid Table 3 - Accent 6"/>
    <w:basedOn w:val="853"/>
    <w:next w:val="936"/>
    <w:link w:val="842"/>
    <w:uiPriority w:val="99"/>
    <w:pPr>
      <w:spacing w:after="0" w:line="240" w:lineRule="auto"/>
    </w:pPr>
    <w:tblPr/>
  </w:style>
  <w:style w:type="table" w:styleId="937">
    <w:name w:val="Grid Table 4"/>
    <w:basedOn w:val="853"/>
    <w:next w:val="937"/>
    <w:link w:val="842"/>
    <w:uiPriority w:val="59"/>
    <w:pPr>
      <w:spacing w:after="0" w:line="240" w:lineRule="auto"/>
    </w:pPr>
    <w:tblPr/>
  </w:style>
  <w:style w:type="table" w:styleId="938">
    <w:name w:val="Grid Table 4 - Accent 1"/>
    <w:basedOn w:val="853"/>
    <w:next w:val="938"/>
    <w:link w:val="842"/>
    <w:uiPriority w:val="59"/>
    <w:pPr>
      <w:spacing w:after="0" w:line="240" w:lineRule="auto"/>
    </w:pPr>
    <w:tblPr/>
  </w:style>
  <w:style w:type="table" w:styleId="939">
    <w:name w:val="Grid Table 4 - Accent 2"/>
    <w:basedOn w:val="853"/>
    <w:next w:val="939"/>
    <w:link w:val="842"/>
    <w:uiPriority w:val="59"/>
    <w:pPr>
      <w:spacing w:after="0" w:line="240" w:lineRule="auto"/>
    </w:pPr>
    <w:tblPr/>
  </w:style>
  <w:style w:type="table" w:styleId="940">
    <w:name w:val="Grid Table 4 - Accent 3"/>
    <w:basedOn w:val="853"/>
    <w:next w:val="940"/>
    <w:link w:val="842"/>
    <w:uiPriority w:val="59"/>
    <w:pPr>
      <w:spacing w:after="0" w:line="240" w:lineRule="auto"/>
    </w:pPr>
    <w:tblPr/>
  </w:style>
  <w:style w:type="table" w:styleId="941">
    <w:name w:val="Grid Table 4 - Accent 4"/>
    <w:basedOn w:val="853"/>
    <w:next w:val="941"/>
    <w:link w:val="842"/>
    <w:uiPriority w:val="59"/>
    <w:pPr>
      <w:spacing w:after="0" w:line="240" w:lineRule="auto"/>
    </w:pPr>
    <w:tblPr/>
  </w:style>
  <w:style w:type="table" w:styleId="942">
    <w:name w:val="Grid Table 4 - Accent 5"/>
    <w:basedOn w:val="853"/>
    <w:next w:val="942"/>
    <w:link w:val="842"/>
    <w:uiPriority w:val="59"/>
    <w:pPr>
      <w:spacing w:after="0" w:line="240" w:lineRule="auto"/>
    </w:pPr>
    <w:tblPr/>
  </w:style>
  <w:style w:type="table" w:styleId="943">
    <w:name w:val="Grid Table 4 - Accent 6"/>
    <w:basedOn w:val="853"/>
    <w:next w:val="943"/>
    <w:link w:val="842"/>
    <w:uiPriority w:val="59"/>
    <w:pPr>
      <w:spacing w:after="0" w:line="240" w:lineRule="auto"/>
    </w:pPr>
    <w:tblPr/>
  </w:style>
  <w:style w:type="table" w:styleId="944">
    <w:name w:val="Grid Table 5 Dark"/>
    <w:basedOn w:val="853"/>
    <w:next w:val="944"/>
    <w:link w:val="842"/>
    <w:uiPriority w:val="99"/>
    <w:pPr>
      <w:spacing w:after="0" w:line="240" w:lineRule="auto"/>
    </w:pPr>
    <w:tblPr/>
  </w:style>
  <w:style w:type="table" w:styleId="945">
    <w:name w:val="Grid Table 5 Dark- Accent 1"/>
    <w:basedOn w:val="853"/>
    <w:next w:val="945"/>
    <w:link w:val="842"/>
    <w:uiPriority w:val="99"/>
    <w:pPr>
      <w:spacing w:after="0" w:line="240" w:lineRule="auto"/>
    </w:pPr>
    <w:tblPr/>
  </w:style>
  <w:style w:type="table" w:styleId="946">
    <w:name w:val="Grid Table 5 Dark - Accent 2"/>
    <w:basedOn w:val="853"/>
    <w:next w:val="946"/>
    <w:link w:val="842"/>
    <w:uiPriority w:val="99"/>
    <w:pPr>
      <w:spacing w:after="0" w:line="240" w:lineRule="auto"/>
    </w:pPr>
    <w:tblPr/>
  </w:style>
  <w:style w:type="table" w:styleId="947">
    <w:name w:val="Grid Table 5 Dark - Accent 3"/>
    <w:basedOn w:val="853"/>
    <w:next w:val="947"/>
    <w:link w:val="842"/>
    <w:uiPriority w:val="99"/>
    <w:pPr>
      <w:spacing w:after="0" w:line="240" w:lineRule="auto"/>
    </w:pPr>
    <w:tblPr/>
  </w:style>
  <w:style w:type="table" w:styleId="948">
    <w:name w:val="Grid Table 5 Dark- Accent 4"/>
    <w:basedOn w:val="853"/>
    <w:next w:val="948"/>
    <w:link w:val="842"/>
    <w:uiPriority w:val="99"/>
    <w:pPr>
      <w:spacing w:after="0" w:line="240" w:lineRule="auto"/>
    </w:pPr>
    <w:tblPr/>
  </w:style>
  <w:style w:type="table" w:styleId="949">
    <w:name w:val="Grid Table 5 Dark - Accent 5"/>
    <w:basedOn w:val="853"/>
    <w:next w:val="949"/>
    <w:link w:val="842"/>
    <w:uiPriority w:val="99"/>
    <w:pPr>
      <w:spacing w:after="0" w:line="240" w:lineRule="auto"/>
    </w:pPr>
    <w:tblPr/>
  </w:style>
  <w:style w:type="table" w:styleId="950">
    <w:name w:val="Grid Table 5 Dark - Accent 6"/>
    <w:basedOn w:val="853"/>
    <w:next w:val="950"/>
    <w:link w:val="842"/>
    <w:uiPriority w:val="99"/>
    <w:pPr>
      <w:spacing w:after="0" w:line="240" w:lineRule="auto"/>
    </w:pPr>
    <w:tblPr/>
  </w:style>
  <w:style w:type="table" w:styleId="951">
    <w:name w:val="Grid Table 6 Colorful"/>
    <w:basedOn w:val="853"/>
    <w:next w:val="951"/>
    <w:link w:val="842"/>
    <w:uiPriority w:val="99"/>
    <w:pPr>
      <w:spacing w:after="0" w:line="240" w:lineRule="auto"/>
    </w:pPr>
    <w:tblPr/>
  </w:style>
  <w:style w:type="table" w:styleId="952">
    <w:name w:val="Grid Table 6 Colorful - Accent 1"/>
    <w:basedOn w:val="853"/>
    <w:next w:val="952"/>
    <w:link w:val="842"/>
    <w:uiPriority w:val="99"/>
    <w:pPr>
      <w:spacing w:after="0" w:line="240" w:lineRule="auto"/>
    </w:pPr>
    <w:tblPr/>
  </w:style>
  <w:style w:type="table" w:styleId="953">
    <w:name w:val="Grid Table 6 Colorful - Accent 2"/>
    <w:basedOn w:val="853"/>
    <w:next w:val="953"/>
    <w:link w:val="842"/>
    <w:uiPriority w:val="99"/>
    <w:pPr>
      <w:spacing w:after="0" w:line="240" w:lineRule="auto"/>
    </w:pPr>
    <w:tblPr/>
  </w:style>
  <w:style w:type="table" w:styleId="954">
    <w:name w:val="Grid Table 6 Colorful - Accent 3"/>
    <w:basedOn w:val="853"/>
    <w:next w:val="954"/>
    <w:link w:val="842"/>
    <w:uiPriority w:val="99"/>
    <w:pPr>
      <w:spacing w:after="0" w:line="240" w:lineRule="auto"/>
    </w:pPr>
    <w:tblPr/>
  </w:style>
  <w:style w:type="table" w:styleId="955">
    <w:name w:val="Grid Table 6 Colorful - Accent 4"/>
    <w:basedOn w:val="853"/>
    <w:next w:val="955"/>
    <w:link w:val="842"/>
    <w:uiPriority w:val="99"/>
    <w:pPr>
      <w:spacing w:after="0" w:line="240" w:lineRule="auto"/>
    </w:pPr>
    <w:tblPr/>
  </w:style>
  <w:style w:type="table" w:styleId="956">
    <w:name w:val="Grid Table 6 Colorful - Accent 5"/>
    <w:basedOn w:val="853"/>
    <w:next w:val="956"/>
    <w:link w:val="842"/>
    <w:uiPriority w:val="99"/>
    <w:pPr>
      <w:spacing w:after="0" w:line="240" w:lineRule="auto"/>
    </w:pPr>
    <w:tblPr/>
  </w:style>
  <w:style w:type="table" w:styleId="957">
    <w:name w:val="Grid Table 6 Colorful - Accent 6"/>
    <w:basedOn w:val="853"/>
    <w:next w:val="957"/>
    <w:link w:val="842"/>
    <w:uiPriority w:val="99"/>
    <w:pPr>
      <w:spacing w:after="0" w:line="240" w:lineRule="auto"/>
    </w:pPr>
    <w:tblPr/>
  </w:style>
  <w:style w:type="table" w:styleId="958">
    <w:name w:val="Grid Table 7 Colorful"/>
    <w:basedOn w:val="853"/>
    <w:next w:val="958"/>
    <w:link w:val="842"/>
    <w:uiPriority w:val="99"/>
    <w:pPr>
      <w:spacing w:after="0" w:line="240" w:lineRule="auto"/>
    </w:pPr>
    <w:tblPr/>
  </w:style>
  <w:style w:type="table" w:styleId="959">
    <w:name w:val="Grid Table 7 Colorful - Accent 1"/>
    <w:basedOn w:val="853"/>
    <w:next w:val="959"/>
    <w:link w:val="842"/>
    <w:uiPriority w:val="99"/>
    <w:pPr>
      <w:spacing w:after="0" w:line="240" w:lineRule="auto"/>
    </w:pPr>
    <w:tblPr/>
  </w:style>
  <w:style w:type="table" w:styleId="960">
    <w:name w:val="Grid Table 7 Colorful - Accent 2"/>
    <w:basedOn w:val="853"/>
    <w:next w:val="960"/>
    <w:link w:val="842"/>
    <w:uiPriority w:val="99"/>
    <w:pPr>
      <w:spacing w:after="0" w:line="240" w:lineRule="auto"/>
    </w:pPr>
    <w:tblPr/>
  </w:style>
  <w:style w:type="table" w:styleId="961">
    <w:name w:val="Grid Table 7 Colorful - Accent 3"/>
    <w:basedOn w:val="853"/>
    <w:next w:val="961"/>
    <w:link w:val="842"/>
    <w:uiPriority w:val="99"/>
    <w:pPr>
      <w:spacing w:after="0" w:line="240" w:lineRule="auto"/>
    </w:pPr>
    <w:tblPr/>
  </w:style>
  <w:style w:type="table" w:styleId="962">
    <w:name w:val="Grid Table 7 Colorful - Accent 4"/>
    <w:basedOn w:val="853"/>
    <w:next w:val="962"/>
    <w:link w:val="842"/>
    <w:uiPriority w:val="99"/>
    <w:pPr>
      <w:spacing w:after="0" w:line="240" w:lineRule="auto"/>
    </w:pPr>
    <w:tblPr/>
  </w:style>
  <w:style w:type="table" w:styleId="963">
    <w:name w:val="Grid Table 7 Colorful - Accent 5"/>
    <w:basedOn w:val="853"/>
    <w:next w:val="963"/>
    <w:link w:val="842"/>
    <w:uiPriority w:val="99"/>
    <w:pPr>
      <w:spacing w:after="0" w:line="240" w:lineRule="auto"/>
    </w:pPr>
    <w:tblPr/>
  </w:style>
  <w:style w:type="table" w:styleId="964">
    <w:name w:val="Grid Table 7 Colorful - Accent 6"/>
    <w:basedOn w:val="853"/>
    <w:next w:val="964"/>
    <w:link w:val="842"/>
    <w:uiPriority w:val="99"/>
    <w:pPr>
      <w:spacing w:after="0" w:line="240" w:lineRule="auto"/>
    </w:pPr>
    <w:tblPr/>
  </w:style>
  <w:style w:type="table" w:styleId="965">
    <w:name w:val="List Table 1 Light"/>
    <w:basedOn w:val="853"/>
    <w:next w:val="965"/>
    <w:link w:val="842"/>
    <w:uiPriority w:val="99"/>
    <w:pPr>
      <w:spacing w:after="0" w:line="240" w:lineRule="auto"/>
    </w:pPr>
    <w:tblPr/>
  </w:style>
  <w:style w:type="table" w:styleId="966">
    <w:name w:val="List Table 1 Light - Accent 1"/>
    <w:basedOn w:val="853"/>
    <w:next w:val="966"/>
    <w:link w:val="842"/>
    <w:uiPriority w:val="99"/>
    <w:pPr>
      <w:spacing w:after="0" w:line="240" w:lineRule="auto"/>
    </w:pPr>
    <w:tblPr/>
  </w:style>
  <w:style w:type="table" w:styleId="967">
    <w:name w:val="List Table 1 Light - Accent 2"/>
    <w:basedOn w:val="853"/>
    <w:next w:val="967"/>
    <w:link w:val="842"/>
    <w:uiPriority w:val="99"/>
    <w:pPr>
      <w:spacing w:after="0" w:line="240" w:lineRule="auto"/>
    </w:pPr>
    <w:tblPr/>
  </w:style>
  <w:style w:type="table" w:styleId="968">
    <w:name w:val="List Table 1 Light - Accent 3"/>
    <w:basedOn w:val="853"/>
    <w:next w:val="968"/>
    <w:link w:val="842"/>
    <w:uiPriority w:val="99"/>
    <w:pPr>
      <w:spacing w:after="0" w:line="240" w:lineRule="auto"/>
    </w:pPr>
    <w:tblPr/>
  </w:style>
  <w:style w:type="table" w:styleId="969">
    <w:name w:val="List Table 1 Light - Accent 4"/>
    <w:basedOn w:val="853"/>
    <w:next w:val="969"/>
    <w:link w:val="842"/>
    <w:uiPriority w:val="99"/>
    <w:pPr>
      <w:spacing w:after="0" w:line="240" w:lineRule="auto"/>
    </w:pPr>
    <w:tblPr/>
  </w:style>
  <w:style w:type="table" w:styleId="970">
    <w:name w:val="List Table 1 Light - Accent 5"/>
    <w:basedOn w:val="853"/>
    <w:next w:val="970"/>
    <w:link w:val="842"/>
    <w:uiPriority w:val="99"/>
    <w:pPr>
      <w:spacing w:after="0" w:line="240" w:lineRule="auto"/>
    </w:pPr>
    <w:tblPr/>
  </w:style>
  <w:style w:type="table" w:styleId="971">
    <w:name w:val="List Table 1 Light - Accent 6"/>
    <w:basedOn w:val="853"/>
    <w:next w:val="971"/>
    <w:link w:val="842"/>
    <w:uiPriority w:val="99"/>
    <w:pPr>
      <w:spacing w:after="0" w:line="240" w:lineRule="auto"/>
    </w:pPr>
    <w:tblPr/>
  </w:style>
  <w:style w:type="table" w:styleId="972">
    <w:name w:val="List Table 2"/>
    <w:basedOn w:val="853"/>
    <w:next w:val="972"/>
    <w:link w:val="842"/>
    <w:uiPriority w:val="99"/>
    <w:pPr>
      <w:spacing w:after="0" w:line="240" w:lineRule="auto"/>
    </w:pPr>
    <w:tblPr/>
  </w:style>
  <w:style w:type="table" w:styleId="973">
    <w:name w:val="List Table 2 - Accent 1"/>
    <w:basedOn w:val="853"/>
    <w:next w:val="973"/>
    <w:link w:val="842"/>
    <w:uiPriority w:val="99"/>
    <w:pPr>
      <w:spacing w:after="0" w:line="240" w:lineRule="auto"/>
    </w:pPr>
    <w:tblPr/>
  </w:style>
  <w:style w:type="table" w:styleId="974">
    <w:name w:val="List Table 2 - Accent 2"/>
    <w:basedOn w:val="853"/>
    <w:next w:val="974"/>
    <w:link w:val="842"/>
    <w:uiPriority w:val="99"/>
    <w:pPr>
      <w:spacing w:after="0" w:line="240" w:lineRule="auto"/>
    </w:pPr>
    <w:tblPr/>
  </w:style>
  <w:style w:type="table" w:styleId="975">
    <w:name w:val="List Table 2 - Accent 3"/>
    <w:basedOn w:val="853"/>
    <w:next w:val="975"/>
    <w:link w:val="842"/>
    <w:uiPriority w:val="99"/>
    <w:pPr>
      <w:spacing w:after="0" w:line="240" w:lineRule="auto"/>
    </w:pPr>
    <w:tblPr/>
  </w:style>
  <w:style w:type="table" w:styleId="976">
    <w:name w:val="List Table 2 - Accent 4"/>
    <w:basedOn w:val="853"/>
    <w:next w:val="976"/>
    <w:link w:val="842"/>
    <w:uiPriority w:val="99"/>
    <w:pPr>
      <w:spacing w:after="0" w:line="240" w:lineRule="auto"/>
    </w:pPr>
    <w:tblPr/>
  </w:style>
  <w:style w:type="table" w:styleId="977">
    <w:name w:val="List Table 2 - Accent 5"/>
    <w:basedOn w:val="853"/>
    <w:next w:val="977"/>
    <w:link w:val="842"/>
    <w:uiPriority w:val="99"/>
    <w:pPr>
      <w:spacing w:after="0" w:line="240" w:lineRule="auto"/>
    </w:pPr>
    <w:tblPr/>
  </w:style>
  <w:style w:type="table" w:styleId="978">
    <w:name w:val="List Table 2 - Accent 6"/>
    <w:basedOn w:val="853"/>
    <w:next w:val="978"/>
    <w:link w:val="842"/>
    <w:uiPriority w:val="99"/>
    <w:pPr>
      <w:spacing w:after="0" w:line="240" w:lineRule="auto"/>
    </w:pPr>
    <w:tblPr/>
  </w:style>
  <w:style w:type="table" w:styleId="979">
    <w:name w:val="List Table 3"/>
    <w:basedOn w:val="853"/>
    <w:next w:val="979"/>
    <w:link w:val="842"/>
    <w:uiPriority w:val="99"/>
    <w:pPr>
      <w:spacing w:after="0" w:line="240" w:lineRule="auto"/>
    </w:pPr>
    <w:tblPr/>
  </w:style>
  <w:style w:type="table" w:styleId="980">
    <w:name w:val="List Table 3 - Accent 1"/>
    <w:basedOn w:val="853"/>
    <w:next w:val="980"/>
    <w:link w:val="842"/>
    <w:uiPriority w:val="99"/>
    <w:pPr>
      <w:spacing w:after="0" w:line="240" w:lineRule="auto"/>
    </w:pPr>
    <w:tblPr/>
  </w:style>
  <w:style w:type="table" w:styleId="981">
    <w:name w:val="List Table 3 - Accent 2"/>
    <w:basedOn w:val="853"/>
    <w:next w:val="981"/>
    <w:link w:val="842"/>
    <w:uiPriority w:val="99"/>
    <w:pPr>
      <w:spacing w:after="0" w:line="240" w:lineRule="auto"/>
    </w:pPr>
    <w:tblPr/>
  </w:style>
  <w:style w:type="table" w:styleId="982">
    <w:name w:val="List Table 3 - Accent 3"/>
    <w:basedOn w:val="853"/>
    <w:next w:val="982"/>
    <w:link w:val="842"/>
    <w:uiPriority w:val="99"/>
    <w:pPr>
      <w:spacing w:after="0" w:line="240" w:lineRule="auto"/>
    </w:pPr>
    <w:tblPr/>
  </w:style>
  <w:style w:type="table" w:styleId="983">
    <w:name w:val="List Table 3 - Accent 4"/>
    <w:basedOn w:val="853"/>
    <w:next w:val="983"/>
    <w:link w:val="842"/>
    <w:uiPriority w:val="99"/>
    <w:pPr>
      <w:spacing w:after="0" w:line="240" w:lineRule="auto"/>
    </w:pPr>
    <w:tblPr/>
  </w:style>
  <w:style w:type="table" w:styleId="984">
    <w:name w:val="List Table 3 - Accent 5"/>
    <w:basedOn w:val="853"/>
    <w:next w:val="984"/>
    <w:link w:val="842"/>
    <w:uiPriority w:val="99"/>
    <w:pPr>
      <w:spacing w:after="0" w:line="240" w:lineRule="auto"/>
    </w:pPr>
    <w:tblPr/>
  </w:style>
  <w:style w:type="table" w:styleId="985">
    <w:name w:val="List Table 3 - Accent 6"/>
    <w:basedOn w:val="853"/>
    <w:next w:val="985"/>
    <w:link w:val="842"/>
    <w:uiPriority w:val="99"/>
    <w:pPr>
      <w:spacing w:after="0" w:line="240" w:lineRule="auto"/>
    </w:pPr>
    <w:tblPr/>
  </w:style>
  <w:style w:type="table" w:styleId="986">
    <w:name w:val="List Table 4"/>
    <w:basedOn w:val="853"/>
    <w:next w:val="986"/>
    <w:link w:val="842"/>
    <w:uiPriority w:val="99"/>
    <w:pPr>
      <w:spacing w:after="0" w:line="240" w:lineRule="auto"/>
    </w:pPr>
    <w:tblPr/>
  </w:style>
  <w:style w:type="table" w:styleId="987">
    <w:name w:val="List Table 4 - Accent 1"/>
    <w:basedOn w:val="853"/>
    <w:next w:val="987"/>
    <w:link w:val="842"/>
    <w:uiPriority w:val="99"/>
    <w:pPr>
      <w:spacing w:after="0" w:line="240" w:lineRule="auto"/>
    </w:pPr>
    <w:tblPr/>
  </w:style>
  <w:style w:type="table" w:styleId="988">
    <w:name w:val="List Table 4 - Accent 2"/>
    <w:basedOn w:val="853"/>
    <w:next w:val="988"/>
    <w:link w:val="842"/>
    <w:uiPriority w:val="99"/>
    <w:pPr>
      <w:spacing w:after="0" w:line="240" w:lineRule="auto"/>
    </w:pPr>
    <w:tblPr/>
  </w:style>
  <w:style w:type="table" w:styleId="989">
    <w:name w:val="List Table 4 - Accent 3"/>
    <w:basedOn w:val="853"/>
    <w:next w:val="989"/>
    <w:link w:val="842"/>
    <w:uiPriority w:val="99"/>
    <w:pPr>
      <w:spacing w:after="0" w:line="240" w:lineRule="auto"/>
    </w:pPr>
    <w:tblPr/>
  </w:style>
  <w:style w:type="table" w:styleId="990">
    <w:name w:val="List Table 4 - Accent 4"/>
    <w:basedOn w:val="853"/>
    <w:next w:val="990"/>
    <w:link w:val="842"/>
    <w:uiPriority w:val="99"/>
    <w:pPr>
      <w:spacing w:after="0" w:line="240" w:lineRule="auto"/>
    </w:pPr>
    <w:tblPr/>
  </w:style>
  <w:style w:type="table" w:styleId="991">
    <w:name w:val="List Table 4 - Accent 5"/>
    <w:basedOn w:val="853"/>
    <w:next w:val="991"/>
    <w:link w:val="842"/>
    <w:uiPriority w:val="99"/>
    <w:pPr>
      <w:spacing w:after="0" w:line="240" w:lineRule="auto"/>
    </w:pPr>
    <w:tblPr/>
  </w:style>
  <w:style w:type="table" w:styleId="992">
    <w:name w:val="List Table 4 - Accent 6"/>
    <w:basedOn w:val="853"/>
    <w:next w:val="992"/>
    <w:link w:val="842"/>
    <w:uiPriority w:val="99"/>
    <w:pPr>
      <w:spacing w:after="0" w:line="240" w:lineRule="auto"/>
    </w:pPr>
    <w:tblPr/>
  </w:style>
  <w:style w:type="table" w:styleId="993">
    <w:name w:val="List Table 5 Dark"/>
    <w:basedOn w:val="853"/>
    <w:next w:val="993"/>
    <w:link w:val="842"/>
    <w:uiPriority w:val="99"/>
    <w:pPr>
      <w:spacing w:after="0" w:line="240" w:lineRule="auto"/>
    </w:pPr>
    <w:tblPr/>
  </w:style>
  <w:style w:type="table" w:styleId="994">
    <w:name w:val="List Table 5 Dark - Accent 1"/>
    <w:basedOn w:val="853"/>
    <w:next w:val="994"/>
    <w:link w:val="842"/>
    <w:uiPriority w:val="99"/>
    <w:pPr>
      <w:spacing w:after="0" w:line="240" w:lineRule="auto"/>
    </w:pPr>
    <w:tblPr/>
  </w:style>
  <w:style w:type="table" w:styleId="995">
    <w:name w:val="List Table 5 Dark - Accent 2"/>
    <w:basedOn w:val="853"/>
    <w:next w:val="995"/>
    <w:link w:val="842"/>
    <w:uiPriority w:val="99"/>
    <w:pPr>
      <w:spacing w:after="0" w:line="240" w:lineRule="auto"/>
    </w:pPr>
    <w:tblPr/>
  </w:style>
  <w:style w:type="table" w:styleId="996">
    <w:name w:val="List Table 5 Dark - Accent 3"/>
    <w:basedOn w:val="853"/>
    <w:next w:val="996"/>
    <w:link w:val="842"/>
    <w:uiPriority w:val="99"/>
    <w:pPr>
      <w:spacing w:after="0" w:line="240" w:lineRule="auto"/>
    </w:pPr>
    <w:tblPr/>
  </w:style>
  <w:style w:type="table" w:styleId="997">
    <w:name w:val="List Table 5 Dark - Accent 4"/>
    <w:basedOn w:val="853"/>
    <w:next w:val="997"/>
    <w:link w:val="842"/>
    <w:uiPriority w:val="99"/>
    <w:pPr>
      <w:spacing w:after="0" w:line="240" w:lineRule="auto"/>
    </w:pPr>
    <w:tblPr/>
  </w:style>
  <w:style w:type="table" w:styleId="998">
    <w:name w:val="List Table 5 Dark - Accent 5"/>
    <w:basedOn w:val="853"/>
    <w:next w:val="998"/>
    <w:link w:val="842"/>
    <w:uiPriority w:val="99"/>
    <w:pPr>
      <w:spacing w:after="0" w:line="240" w:lineRule="auto"/>
    </w:pPr>
    <w:tblPr/>
  </w:style>
  <w:style w:type="table" w:styleId="999">
    <w:name w:val="List Table 5 Dark - Accent 6"/>
    <w:basedOn w:val="853"/>
    <w:next w:val="999"/>
    <w:link w:val="842"/>
    <w:uiPriority w:val="99"/>
    <w:pPr>
      <w:spacing w:after="0" w:line="240" w:lineRule="auto"/>
    </w:pPr>
    <w:tblPr/>
  </w:style>
  <w:style w:type="table" w:styleId="1000">
    <w:name w:val="List Table 6 Colorful"/>
    <w:basedOn w:val="853"/>
    <w:next w:val="1000"/>
    <w:link w:val="842"/>
    <w:uiPriority w:val="99"/>
    <w:pPr>
      <w:spacing w:after="0" w:line="240" w:lineRule="auto"/>
    </w:pPr>
    <w:tblPr/>
  </w:style>
  <w:style w:type="table" w:styleId="1001">
    <w:name w:val="List Table 6 Colorful - Accent 1"/>
    <w:basedOn w:val="853"/>
    <w:next w:val="1001"/>
    <w:link w:val="842"/>
    <w:uiPriority w:val="99"/>
    <w:pPr>
      <w:spacing w:after="0" w:line="240" w:lineRule="auto"/>
    </w:pPr>
    <w:tblPr/>
  </w:style>
  <w:style w:type="table" w:styleId="1002">
    <w:name w:val="List Table 6 Colorful - Accent 2"/>
    <w:basedOn w:val="853"/>
    <w:next w:val="1002"/>
    <w:link w:val="842"/>
    <w:uiPriority w:val="99"/>
    <w:pPr>
      <w:spacing w:after="0" w:line="240" w:lineRule="auto"/>
    </w:pPr>
    <w:tblPr/>
  </w:style>
  <w:style w:type="table" w:styleId="1003">
    <w:name w:val="List Table 6 Colorful - Accent 3"/>
    <w:basedOn w:val="853"/>
    <w:next w:val="1003"/>
    <w:link w:val="842"/>
    <w:uiPriority w:val="99"/>
    <w:pPr>
      <w:spacing w:after="0" w:line="240" w:lineRule="auto"/>
    </w:pPr>
    <w:tblPr/>
  </w:style>
  <w:style w:type="table" w:styleId="1004">
    <w:name w:val="List Table 6 Colorful - Accent 4"/>
    <w:basedOn w:val="853"/>
    <w:next w:val="1004"/>
    <w:link w:val="842"/>
    <w:uiPriority w:val="99"/>
    <w:pPr>
      <w:spacing w:after="0" w:line="240" w:lineRule="auto"/>
    </w:pPr>
    <w:tblPr/>
  </w:style>
  <w:style w:type="table" w:styleId="1005">
    <w:name w:val="List Table 6 Colorful - Accent 5"/>
    <w:basedOn w:val="853"/>
    <w:next w:val="1005"/>
    <w:link w:val="842"/>
    <w:uiPriority w:val="99"/>
    <w:pPr>
      <w:spacing w:after="0" w:line="240" w:lineRule="auto"/>
    </w:pPr>
    <w:tblPr/>
  </w:style>
  <w:style w:type="table" w:styleId="1006">
    <w:name w:val="List Table 6 Colorful - Accent 6"/>
    <w:basedOn w:val="853"/>
    <w:next w:val="1006"/>
    <w:link w:val="842"/>
    <w:uiPriority w:val="99"/>
    <w:pPr>
      <w:spacing w:after="0" w:line="240" w:lineRule="auto"/>
    </w:pPr>
    <w:tblPr/>
  </w:style>
  <w:style w:type="table" w:styleId="1007">
    <w:name w:val="List Table 7 Colorful"/>
    <w:basedOn w:val="853"/>
    <w:next w:val="1007"/>
    <w:link w:val="842"/>
    <w:uiPriority w:val="99"/>
    <w:pPr>
      <w:spacing w:after="0" w:line="240" w:lineRule="auto"/>
    </w:pPr>
    <w:tblPr/>
  </w:style>
  <w:style w:type="table" w:styleId="1008">
    <w:name w:val="List Table 7 Colorful - Accent 1"/>
    <w:basedOn w:val="853"/>
    <w:next w:val="1008"/>
    <w:link w:val="842"/>
    <w:uiPriority w:val="99"/>
    <w:pPr>
      <w:spacing w:after="0" w:line="240" w:lineRule="auto"/>
    </w:pPr>
    <w:tblPr/>
  </w:style>
  <w:style w:type="table" w:styleId="1009">
    <w:name w:val="List Table 7 Colorful - Accent 2"/>
    <w:basedOn w:val="853"/>
    <w:next w:val="1009"/>
    <w:link w:val="842"/>
    <w:uiPriority w:val="99"/>
    <w:pPr>
      <w:spacing w:after="0" w:line="240" w:lineRule="auto"/>
    </w:pPr>
    <w:tblPr/>
  </w:style>
  <w:style w:type="table" w:styleId="1010">
    <w:name w:val="List Table 7 Colorful - Accent 3"/>
    <w:basedOn w:val="853"/>
    <w:next w:val="1010"/>
    <w:link w:val="842"/>
    <w:uiPriority w:val="99"/>
    <w:pPr>
      <w:spacing w:after="0" w:line="240" w:lineRule="auto"/>
    </w:pPr>
    <w:tblPr/>
  </w:style>
  <w:style w:type="table" w:styleId="1011">
    <w:name w:val="List Table 7 Colorful - Accent 4"/>
    <w:basedOn w:val="853"/>
    <w:next w:val="1011"/>
    <w:link w:val="842"/>
    <w:uiPriority w:val="99"/>
    <w:pPr>
      <w:spacing w:after="0" w:line="240" w:lineRule="auto"/>
    </w:pPr>
    <w:tblPr/>
  </w:style>
  <w:style w:type="table" w:styleId="1012">
    <w:name w:val="List Table 7 Colorful - Accent 5"/>
    <w:basedOn w:val="853"/>
    <w:next w:val="1012"/>
    <w:link w:val="842"/>
    <w:uiPriority w:val="99"/>
    <w:pPr>
      <w:spacing w:after="0" w:line="240" w:lineRule="auto"/>
    </w:pPr>
    <w:tblPr/>
  </w:style>
  <w:style w:type="table" w:styleId="1013">
    <w:name w:val="List Table 7 Colorful - Accent 6"/>
    <w:basedOn w:val="853"/>
    <w:next w:val="1013"/>
    <w:link w:val="842"/>
    <w:uiPriority w:val="99"/>
    <w:pPr>
      <w:spacing w:after="0" w:line="240" w:lineRule="auto"/>
    </w:pPr>
    <w:tblPr/>
  </w:style>
  <w:style w:type="table" w:styleId="1014">
    <w:name w:val="Lined - Accent"/>
    <w:basedOn w:val="853"/>
    <w:next w:val="1014"/>
    <w:link w:val="842"/>
    <w:uiPriority w:val="99"/>
    <w:pPr>
      <w:spacing w:after="0" w:line="240" w:lineRule="auto"/>
    </w:pPr>
    <w:rPr>
      <w:color w:val="404040"/>
    </w:rPr>
    <w:tblPr/>
  </w:style>
  <w:style w:type="table" w:styleId="1015">
    <w:name w:val="Lined - Accent 1"/>
    <w:basedOn w:val="853"/>
    <w:next w:val="1015"/>
    <w:link w:val="842"/>
    <w:uiPriority w:val="99"/>
    <w:pPr>
      <w:spacing w:after="0" w:line="240" w:lineRule="auto"/>
    </w:pPr>
    <w:rPr>
      <w:color w:val="404040"/>
    </w:rPr>
    <w:tblPr/>
  </w:style>
  <w:style w:type="table" w:styleId="1016">
    <w:name w:val="Lined - Accent 2"/>
    <w:basedOn w:val="853"/>
    <w:next w:val="1016"/>
    <w:link w:val="842"/>
    <w:uiPriority w:val="99"/>
    <w:pPr>
      <w:spacing w:after="0" w:line="240" w:lineRule="auto"/>
    </w:pPr>
    <w:rPr>
      <w:color w:val="404040"/>
    </w:rPr>
    <w:tblPr/>
  </w:style>
  <w:style w:type="table" w:styleId="1017">
    <w:name w:val="Lined - Accent 3"/>
    <w:basedOn w:val="853"/>
    <w:next w:val="1017"/>
    <w:link w:val="842"/>
    <w:uiPriority w:val="99"/>
    <w:pPr>
      <w:spacing w:after="0" w:line="240" w:lineRule="auto"/>
    </w:pPr>
    <w:rPr>
      <w:color w:val="404040"/>
    </w:rPr>
    <w:tblPr/>
  </w:style>
  <w:style w:type="table" w:styleId="1018">
    <w:name w:val="Lined - Accent 4"/>
    <w:basedOn w:val="853"/>
    <w:next w:val="1018"/>
    <w:link w:val="842"/>
    <w:uiPriority w:val="99"/>
    <w:pPr>
      <w:spacing w:after="0" w:line="240" w:lineRule="auto"/>
    </w:pPr>
    <w:rPr>
      <w:color w:val="404040"/>
    </w:rPr>
    <w:tblPr/>
  </w:style>
  <w:style w:type="table" w:styleId="1019">
    <w:name w:val="Lined - Accent 5"/>
    <w:basedOn w:val="853"/>
    <w:next w:val="1019"/>
    <w:link w:val="842"/>
    <w:uiPriority w:val="99"/>
    <w:pPr>
      <w:spacing w:after="0" w:line="240" w:lineRule="auto"/>
    </w:pPr>
    <w:rPr>
      <w:color w:val="404040"/>
    </w:rPr>
    <w:tblPr/>
  </w:style>
  <w:style w:type="table" w:styleId="1020">
    <w:name w:val="Lined - Accent 6"/>
    <w:basedOn w:val="853"/>
    <w:next w:val="1020"/>
    <w:link w:val="842"/>
    <w:uiPriority w:val="99"/>
    <w:pPr>
      <w:spacing w:after="0" w:line="240" w:lineRule="auto"/>
    </w:pPr>
    <w:rPr>
      <w:color w:val="404040"/>
    </w:rPr>
    <w:tblPr/>
  </w:style>
  <w:style w:type="table" w:styleId="1021">
    <w:name w:val="Bordered &amp; Lined - Accent"/>
    <w:basedOn w:val="853"/>
    <w:next w:val="1021"/>
    <w:link w:val="842"/>
    <w:uiPriority w:val="99"/>
    <w:pPr>
      <w:spacing w:after="0" w:line="240" w:lineRule="auto"/>
    </w:pPr>
    <w:rPr>
      <w:color w:val="404040"/>
    </w:rPr>
    <w:tblPr/>
  </w:style>
  <w:style w:type="table" w:styleId="1022">
    <w:name w:val="Bordered &amp; Lined - Accent 1"/>
    <w:basedOn w:val="853"/>
    <w:next w:val="1022"/>
    <w:link w:val="842"/>
    <w:uiPriority w:val="99"/>
    <w:pPr>
      <w:spacing w:after="0" w:line="240" w:lineRule="auto"/>
    </w:pPr>
    <w:rPr>
      <w:color w:val="404040"/>
    </w:rPr>
    <w:tblPr/>
  </w:style>
  <w:style w:type="table" w:styleId="1023">
    <w:name w:val="Bordered &amp; Lined - Accent 2"/>
    <w:basedOn w:val="853"/>
    <w:next w:val="1023"/>
    <w:link w:val="842"/>
    <w:uiPriority w:val="99"/>
    <w:pPr>
      <w:spacing w:after="0" w:line="240" w:lineRule="auto"/>
    </w:pPr>
    <w:rPr>
      <w:color w:val="404040"/>
    </w:rPr>
    <w:tblPr/>
  </w:style>
  <w:style w:type="table" w:styleId="1024">
    <w:name w:val="Bordered &amp; Lined - Accent 3"/>
    <w:basedOn w:val="853"/>
    <w:next w:val="1024"/>
    <w:link w:val="842"/>
    <w:uiPriority w:val="99"/>
    <w:pPr>
      <w:spacing w:after="0" w:line="240" w:lineRule="auto"/>
    </w:pPr>
    <w:rPr>
      <w:color w:val="404040"/>
    </w:rPr>
    <w:tblPr/>
  </w:style>
  <w:style w:type="table" w:styleId="1025">
    <w:name w:val="Bordered &amp; Lined - Accent 4"/>
    <w:basedOn w:val="853"/>
    <w:next w:val="1025"/>
    <w:link w:val="842"/>
    <w:uiPriority w:val="99"/>
    <w:pPr>
      <w:spacing w:after="0" w:line="240" w:lineRule="auto"/>
    </w:pPr>
    <w:rPr>
      <w:color w:val="404040"/>
    </w:rPr>
    <w:tblPr/>
  </w:style>
  <w:style w:type="table" w:styleId="1026">
    <w:name w:val="Bordered &amp; Lined - Accent 5"/>
    <w:basedOn w:val="853"/>
    <w:next w:val="1026"/>
    <w:link w:val="842"/>
    <w:uiPriority w:val="99"/>
    <w:pPr>
      <w:spacing w:after="0" w:line="240" w:lineRule="auto"/>
    </w:pPr>
    <w:rPr>
      <w:color w:val="404040"/>
    </w:rPr>
    <w:tblPr/>
  </w:style>
  <w:style w:type="table" w:styleId="1027">
    <w:name w:val="Bordered &amp; Lined - Accent 6"/>
    <w:basedOn w:val="853"/>
    <w:next w:val="1027"/>
    <w:link w:val="842"/>
    <w:uiPriority w:val="99"/>
    <w:pPr>
      <w:spacing w:after="0" w:line="240" w:lineRule="auto"/>
    </w:pPr>
    <w:rPr>
      <w:color w:val="404040"/>
    </w:rPr>
    <w:tblPr/>
  </w:style>
  <w:style w:type="table" w:styleId="1028">
    <w:name w:val="Bordered"/>
    <w:basedOn w:val="853"/>
    <w:next w:val="1028"/>
    <w:link w:val="842"/>
    <w:uiPriority w:val="99"/>
    <w:pPr>
      <w:spacing w:after="0" w:line="240" w:lineRule="auto"/>
    </w:pPr>
    <w:tblPr/>
  </w:style>
  <w:style w:type="table" w:styleId="1029">
    <w:name w:val="Bordered - Accent 1"/>
    <w:basedOn w:val="853"/>
    <w:next w:val="1029"/>
    <w:link w:val="842"/>
    <w:uiPriority w:val="99"/>
    <w:pPr>
      <w:spacing w:after="0" w:line="240" w:lineRule="auto"/>
    </w:pPr>
    <w:tblPr/>
  </w:style>
  <w:style w:type="table" w:styleId="1030">
    <w:name w:val="Bordered - Accent 2"/>
    <w:basedOn w:val="853"/>
    <w:next w:val="1030"/>
    <w:link w:val="842"/>
    <w:uiPriority w:val="99"/>
    <w:pPr>
      <w:spacing w:after="0" w:line="240" w:lineRule="auto"/>
    </w:pPr>
    <w:tblPr/>
  </w:style>
  <w:style w:type="table" w:styleId="1031">
    <w:name w:val="Bordered - Accent 3"/>
    <w:basedOn w:val="853"/>
    <w:next w:val="1031"/>
    <w:link w:val="842"/>
    <w:uiPriority w:val="99"/>
    <w:pPr>
      <w:spacing w:after="0" w:line="240" w:lineRule="auto"/>
    </w:pPr>
    <w:tblPr/>
  </w:style>
  <w:style w:type="table" w:styleId="1032">
    <w:name w:val="Bordered - Accent 4"/>
    <w:basedOn w:val="853"/>
    <w:next w:val="1032"/>
    <w:link w:val="842"/>
    <w:uiPriority w:val="99"/>
    <w:qFormat/>
    <w:pPr>
      <w:spacing w:after="0" w:line="240" w:lineRule="auto"/>
    </w:pPr>
    <w:tblPr/>
  </w:style>
  <w:style w:type="table" w:styleId="1033">
    <w:name w:val="Bordered - Accent 5"/>
    <w:basedOn w:val="853"/>
    <w:next w:val="1033"/>
    <w:link w:val="842"/>
    <w:uiPriority w:val="99"/>
    <w:qFormat/>
    <w:pPr>
      <w:spacing w:after="0" w:line="240" w:lineRule="auto"/>
    </w:pPr>
    <w:tblPr/>
  </w:style>
  <w:style w:type="table" w:styleId="1034">
    <w:name w:val="Bordered - Accent 6"/>
    <w:basedOn w:val="853"/>
    <w:next w:val="1034"/>
    <w:link w:val="842"/>
    <w:uiPriority w:val="99"/>
    <w:pPr>
      <w:spacing w:after="0" w:line="240" w:lineRule="auto"/>
    </w:pPr>
    <w:tblPr/>
  </w:style>
  <w:style w:type="paragraph" w:styleId="1035">
    <w:name w:val="TOC Heading"/>
    <w:next w:val="1035"/>
    <w:link w:val="842"/>
    <w:uiPriority w:val="39"/>
    <w:unhideWhenUsed/>
    <w:qFormat/>
    <w:rPr>
      <w:rFonts w:ascii="等线" w:hAnsi="等线" w:eastAsia="等线"/>
      <w:lang w:val="en-US" w:eastAsia="zh-CN" w:bidi="ar-SA"/>
    </w:rPr>
  </w:style>
  <w:style w:type="paragraph" w:styleId="1036">
    <w:name w:val="正文缩进1"/>
    <w:basedOn w:val="842"/>
    <w:next w:val="1036"/>
    <w:link w:val="842"/>
    <w:uiPriority w:val="99"/>
    <w:qFormat/>
    <w:pPr>
      <w:ind w:firstLine="420"/>
    </w:pPr>
    <w:rPr>
      <w:b/>
      <w:sz w:val="24"/>
    </w:rPr>
  </w:style>
  <w:style w:type="paragraph" w:styleId="1037">
    <w:name w:val="目录 11"/>
    <w:basedOn w:val="842"/>
    <w:next w:val="842"/>
    <w:link w:val="842"/>
    <w:uiPriority w:val="39"/>
    <w:qFormat/>
  </w:style>
  <w:style w:type="paragraph" w:styleId="1038">
    <w:name w:val="目录 31"/>
    <w:basedOn w:val="842"/>
    <w:next w:val="842"/>
    <w:link w:val="842"/>
    <w:uiPriority w:val="39"/>
    <w:qFormat/>
    <w:pPr>
      <w:ind w:left="840"/>
    </w:pPr>
  </w:style>
  <w:style w:type="paragraph" w:styleId="1039">
    <w:name w:val="正文文本缩进 31"/>
    <w:basedOn w:val="842"/>
    <w:next w:val="1039"/>
    <w:link w:val="842"/>
    <w:qFormat/>
    <w:pPr>
      <w:ind w:firstLine="841"/>
    </w:pPr>
    <w:rPr>
      <w:rFonts w:eastAsia="华文新魏"/>
      <w:b/>
      <w:bCs/>
      <w:sz w:val="84"/>
    </w:rPr>
  </w:style>
  <w:style w:type="paragraph" w:styleId="1040">
    <w:name w:val="普通(网站)1"/>
    <w:basedOn w:val="842"/>
    <w:next w:val="1040"/>
    <w:link w:val="842"/>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41">
    <w:name w:val="正文首行缩进1"/>
    <w:basedOn w:val="900"/>
    <w:next w:val="1041"/>
    <w:link w:val="842"/>
    <w:qFormat/>
    <w:pPr>
      <w:ind w:firstLine="420"/>
      <w:spacing w:line="360" w:lineRule="auto"/>
    </w:pPr>
    <w:rPr>
      <w:rFonts w:ascii="Times New Roman" w:hAnsi="Times New Roman" w:cs="Times New Roman"/>
      <w:szCs w:val="21"/>
    </w:rPr>
  </w:style>
  <w:style w:type="character" w:styleId="1042">
    <w:name w:val="超链接1"/>
    <w:next w:val="1042"/>
    <w:link w:val="842"/>
    <w:uiPriority w:val="99"/>
    <w:qFormat/>
    <w:rPr>
      <w:rFonts w:ascii="Times New Roman" w:hAnsi="Times New Roman" w:eastAsia="宋体" w:cs="Times New Roman"/>
      <w:sz w:val="21"/>
      <w:lang w:val="en-US" w:eastAsia="zh-CN" w:bidi="ar-SA"/>
    </w:rPr>
  </w:style>
  <w:style w:type="paragraph" w:styleId="1043">
    <w:name w:val="标题 31"/>
    <w:basedOn w:val="842"/>
    <w:next w:val="1036"/>
    <w:link w:val="84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44">
    <w:name w:val="列表段落"/>
    <w:basedOn w:val="842"/>
    <w:next w:val="1044"/>
    <w:link w:val="842"/>
    <w:qFormat/>
    <w:pPr>
      <w:ind w:firstLine="420"/>
      <w:jc w:val="left"/>
      <w:spacing w:after="200"/>
      <w:widowControl/>
    </w:pPr>
    <w:rPr>
      <w:rFonts w:ascii="Tahoma" w:hAnsi="Tahoma" w:eastAsia="微软雅黑"/>
      <w:sz w:val="22"/>
      <w:szCs w:val="22"/>
    </w:rPr>
  </w:style>
  <w:style w:type="paragraph" w:styleId="1045">
    <w:name w:val="_Style 6"/>
    <w:basedOn w:val="842"/>
    <w:next w:val="1045"/>
    <w:link w:val="842"/>
    <w:uiPriority w:val="34"/>
    <w:qFormat/>
    <w:pPr>
      <w:ind w:firstLine="420"/>
    </w:pPr>
    <w:rPr>
      <w:szCs w:val="24"/>
    </w:rPr>
  </w:style>
  <w:style w:type="paragraph" w:styleId="1046">
    <w:name w:val="页眉1"/>
    <w:basedOn w:val="842"/>
    <w:next w:val="1046"/>
    <w:link w:val="842"/>
    <w:uiPriority w:val="99"/>
    <w:qFormat/>
    <w:pPr>
      <w:jc w:val="center"/>
      <w:tabs>
        <w:tab w:val="center" w:pos="4153" w:leader="none"/>
        <w:tab w:val="right" w:pos="8306" w:leader="none"/>
      </w:tabs>
      <w:pBdr>
        <w:bottom w:val="single" w:color="000000" w:sz="6" w:space="1"/>
      </w:pBdr>
    </w:pPr>
    <w:rPr>
      <w:sz w:val="18"/>
    </w:rPr>
  </w:style>
  <w:style w:type="paragraph" w:styleId="1047">
    <w:name w:val="页脚1"/>
    <w:basedOn w:val="842"/>
    <w:next w:val="1047"/>
    <w:link w:val="842"/>
    <w:uiPriority w:val="99"/>
    <w:qFormat/>
    <w:pPr>
      <w:jc w:val="left"/>
      <w:tabs>
        <w:tab w:val="center" w:pos="4153" w:leader="none"/>
        <w:tab w:val="right" w:pos="8306" w:leader="none"/>
      </w:tabs>
    </w:pPr>
    <w:rPr>
      <w:sz w:val="18"/>
    </w:rPr>
  </w:style>
  <w:style w:type="paragraph" w:styleId="1048">
    <w:name w:val="A3"/>
    <w:basedOn w:val="1049"/>
    <w:next w:val="1048"/>
    <w:link w:val="842"/>
    <w:qFormat/>
    <w:pPr>
      <w:numPr>
        <w:ilvl w:val="2"/>
      </w:numPr>
      <w:ind w:firstLine="0"/>
      <w:spacing w:before="120"/>
      <w:tabs>
        <w:tab w:val="left" w:pos="1418" w:leader="none"/>
      </w:tabs>
    </w:pPr>
    <w:rPr>
      <w:lang w:val="zh-CN"/>
    </w:rPr>
  </w:style>
  <w:style w:type="paragraph" w:styleId="1049">
    <w:name w:val="A2"/>
    <w:basedOn w:val="1050"/>
    <w:next w:val="1049"/>
    <w:link w:val="842"/>
    <w:qFormat/>
    <w:pPr>
      <w:numPr>
        <w:ilvl w:val="1"/>
      </w:numPr>
      <w:ind w:firstLine="0"/>
      <w:tabs>
        <w:tab w:val="left" w:pos="1418" w:leader="none"/>
      </w:tabs>
    </w:pPr>
    <w:rPr>
      <w:rFonts w:hAnsi="宋体"/>
      <w:b w:val="0"/>
      <w:szCs w:val="21"/>
    </w:rPr>
  </w:style>
  <w:style w:type="paragraph" w:styleId="1050">
    <w:name w:val="A1"/>
    <w:next w:val="1050"/>
    <w:link w:val="842"/>
    <w:qFormat/>
    <w:pPr>
      <w:numPr>
        <w:ilvl w:val="0"/>
        <w:numId w:val="1"/>
      </w:numPr>
      <w:ind w:left="4390" w:hanging="1418"/>
      <w:spacing w:before="240"/>
      <w:tabs>
        <w:tab w:val="left" w:pos="1418" w:leader="none"/>
      </w:tabs>
      <w:outlineLvl w:val="0"/>
    </w:pPr>
    <w:rPr>
      <w:rFonts w:ascii="Arial Narrow" w:hAnsi="Arial Narrow" w:eastAsia="仿宋"/>
      <w:b/>
      <w:sz w:val="24"/>
      <w:szCs w:val="24"/>
      <w:lang w:val="en-US" w:eastAsia="zh-CN" w:bidi="ar-SA"/>
    </w:rPr>
  </w:style>
  <w:style w:type="table" w:styleId="1051">
    <w:name w:val="无格式表格 21"/>
    <w:next w:val="1051"/>
    <w:link w:val="842"/>
    <w:uiPriority w:val="42"/>
    <w:qFormat/>
    <w:tblPr/>
  </w:style>
  <w:style w:type="character" w:styleId="1052">
    <w:name w:val="font11"/>
    <w:basedOn w:val="852"/>
    <w:next w:val="1052"/>
    <w:link w:val="842"/>
    <w:rPr>
      <w:rFonts w:hint="eastAsia" w:ascii="微软雅黑" w:hAnsi="微软雅黑" w:eastAsia="微软雅黑" w:cs="微软雅黑"/>
      <w:i w:val="0"/>
      <w:iCs w:val="0"/>
      <w:color w:val="000000"/>
      <w:sz w:val="24"/>
      <w:szCs w:val="24"/>
      <w:u w:val="none"/>
    </w:rPr>
  </w:style>
  <w:style w:type="character" w:styleId="1053">
    <w:name w:val="font21"/>
    <w:basedOn w:val="852"/>
    <w:next w:val="1053"/>
    <w:link w:val="842"/>
    <w:rPr>
      <w:rFonts w:hint="eastAsia" w:ascii="微软雅黑" w:hAnsi="微软雅黑" w:eastAsia="微软雅黑" w:cs="微软雅黑"/>
      <w:b/>
      <w:bCs/>
      <w:i w:val="0"/>
      <w:iCs w:val="0"/>
      <w:color w:val="000000"/>
      <w:sz w:val="24"/>
      <w:szCs w:val="24"/>
      <w:u w:val="none"/>
    </w:rPr>
  </w:style>
  <w:style w:type="character" w:styleId="1054">
    <w:name w:val="font41"/>
    <w:basedOn w:val="852"/>
    <w:next w:val="1054"/>
    <w:link w:val="842"/>
    <w:rPr>
      <w:rFonts w:hint="eastAsia" w:ascii="微软雅黑" w:hAnsi="微软雅黑" w:eastAsia="微软雅黑" w:cs="微软雅黑"/>
      <w:i w:val="0"/>
      <w:iCs w:val="0"/>
      <w:color w:val="000000"/>
      <w:sz w:val="24"/>
      <w:szCs w:val="24"/>
      <w:u w:val="none"/>
      <w:vertAlign w:val="superscript"/>
    </w:rPr>
  </w:style>
  <w:style w:type="paragraph" w:styleId="1055">
    <w:name w:val="列出段落4"/>
    <w:basedOn w:val="842"/>
    <w:next w:val="1055"/>
    <w:link w:val="842"/>
    <w:qFormat/>
    <w:pPr>
      <w:ind w:firstLine="420"/>
    </w:pPr>
    <w:rPr>
      <w:rFonts w:ascii="Calibri" w:hAnsi="Calibri" w:eastAsia="宋体" w:cs="Times New Roman"/>
      <w:sz w:val="20"/>
    </w:rPr>
  </w:style>
  <w:style w:type="paragraph" w:styleId="1056">
    <w:name w:val="正文首行缩进 21"/>
    <w:basedOn w:val="1057"/>
    <w:next w:val="1056"/>
    <w:link w:val="842"/>
    <w:pPr>
      <w:ind w:left="420" w:firstLine="420"/>
      <w:jc w:val="left"/>
      <w:spacing w:after="120" w:line="315" w:lineRule="atLeast"/>
    </w:pPr>
    <w:rPr>
      <w:rFonts w:ascii="宋体"/>
      <w:sz w:val="24"/>
      <w:szCs w:val="24"/>
    </w:rPr>
  </w:style>
  <w:style w:type="paragraph" w:styleId="1057">
    <w:name w:val="正文文本缩进1"/>
    <w:basedOn w:val="842"/>
    <w:next w:val="1056"/>
    <w:link w:val="842"/>
    <w:qFormat/>
    <w:pPr>
      <w:ind w:left="420"/>
      <w:spacing w:after="120"/>
    </w:pPr>
    <w:rPr>
      <w:szCs w:val="24"/>
    </w:rPr>
  </w:style>
  <w:style w:type="table" w:styleId="1058">
    <w:name w:val="Table Normal"/>
    <w:next w:val="1058"/>
    <w:link w:val="842"/>
    <w:qFormat/>
    <w:tblPr/>
  </w:style>
  <w:style w:type="character" w:styleId="16606" w:default="1">
    <w:name w:val="Default Paragraph Font"/>
    <w:uiPriority w:val="1"/>
    <w:semiHidden/>
    <w:unhideWhenUsed/>
  </w:style>
  <w:style w:type="numbering" w:styleId="16607" w:default="1">
    <w:name w:val="No List"/>
    <w:uiPriority w:val="99"/>
    <w:semiHidden/>
    <w:unhideWhenUsed/>
  </w:style>
  <w:style w:type="table" w:styleId="166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南京鼓楼医院招标</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朱志云</cp:lastModifiedBy>
  <cp:revision>6</cp:revision>
  <dcterms:created xsi:type="dcterms:W3CDTF">2024-12-21T12:30:00Z</dcterms:created>
  <dcterms:modified xsi:type="dcterms:W3CDTF">2026-06-08T05:04:46Z</dcterms:modified>
</cp:coreProperties>
</file>